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p14">
  <w:body>
    <w:p w:rsidRPr="003D0ADA" w:rsidR="00276D79" w:rsidP="00D86FE0" w:rsidRDefault="00276D79" w14:paraId="4EC41B0C" w14:textId="77777777">
      <w:pPr>
        <w:pStyle w:val="MARITZA3"/>
        <w:tabs>
          <w:tab w:val="clear" w:pos="0"/>
        </w:tabs>
        <w:suppressAutoHyphens w:val="0"/>
        <w:ind w:left="-284"/>
        <w:rPr>
          <w:rFonts w:ascii="Arial" w:hAnsi="Arial" w:cs="Arial"/>
          <w:sz w:val="22"/>
          <w:szCs w:val="22"/>
          <w:lang w:val="es-CO"/>
        </w:rPr>
      </w:pPr>
    </w:p>
    <w:p w:rsidRPr="003D0ADA" w:rsidR="00276D79" w:rsidP="00D86FE0" w:rsidRDefault="00276D79" w14:paraId="2AB1A887" w14:textId="77777777">
      <w:pPr>
        <w:pStyle w:val="MARITZA3"/>
        <w:tabs>
          <w:tab w:val="clear" w:pos="0"/>
        </w:tabs>
        <w:suppressAutoHyphens w:val="0"/>
        <w:jc w:val="center"/>
        <w:rPr>
          <w:rFonts w:ascii="Arial" w:hAnsi="Arial" w:cs="Arial"/>
          <w:b/>
          <w:sz w:val="22"/>
          <w:szCs w:val="22"/>
          <w:lang w:val="es-CO"/>
        </w:rPr>
      </w:pPr>
      <w:r w:rsidRPr="003D0ADA">
        <w:rPr>
          <w:rFonts w:ascii="Arial" w:hAnsi="Arial" w:cs="Arial"/>
          <w:b/>
          <w:sz w:val="22"/>
          <w:szCs w:val="22"/>
          <w:lang w:val="es-CO"/>
        </w:rPr>
        <w:t>ANEXO N° 1</w:t>
      </w:r>
    </w:p>
    <w:p w:rsidRPr="003D0ADA" w:rsidR="00276D79" w:rsidP="00D86FE0" w:rsidRDefault="00276D79" w14:paraId="7C9B1A68" w14:textId="77777777">
      <w:pPr>
        <w:pStyle w:val="MARITZA3"/>
        <w:tabs>
          <w:tab w:val="clear" w:pos="0"/>
        </w:tabs>
        <w:suppressAutoHyphens w:val="0"/>
        <w:jc w:val="center"/>
        <w:rPr>
          <w:rFonts w:ascii="Arial" w:hAnsi="Arial" w:cs="Arial"/>
          <w:b/>
          <w:spacing w:val="0"/>
          <w:sz w:val="22"/>
          <w:szCs w:val="22"/>
          <w:lang w:val="es-CO" w:eastAsia="es-ES"/>
        </w:rPr>
      </w:pPr>
      <w:r w:rsidRPr="003D0ADA">
        <w:rPr>
          <w:rFonts w:ascii="Arial" w:hAnsi="Arial" w:cs="Arial"/>
          <w:b/>
          <w:spacing w:val="0"/>
          <w:sz w:val="22"/>
          <w:szCs w:val="22"/>
          <w:lang w:val="es-CO" w:eastAsia="es-ES"/>
        </w:rPr>
        <w:t xml:space="preserve">ANÁLISIS ECONÓMICO DEL SECTOR Y DE LOS POSIBLES OFERENTES  </w:t>
      </w:r>
    </w:p>
    <w:p w:rsidRPr="003D0ADA" w:rsidR="00276D79" w:rsidP="00D86FE0" w:rsidRDefault="00276D79" w14:paraId="6D37E531" w14:textId="51BA4A8F">
      <w:pPr>
        <w:pStyle w:val="MARITZA3"/>
        <w:tabs>
          <w:tab w:val="clear" w:pos="0"/>
        </w:tabs>
        <w:suppressAutoHyphens w:val="0"/>
        <w:rPr>
          <w:rFonts w:ascii="Arial" w:hAnsi="Arial" w:cs="Arial"/>
          <w:spacing w:val="0"/>
          <w:sz w:val="22"/>
          <w:szCs w:val="22"/>
          <w:lang w:val="es-CO" w:eastAsia="es-ES"/>
        </w:rPr>
      </w:pPr>
    </w:p>
    <w:p w:rsidR="009E49A0" w:rsidP="00C01D4D" w:rsidRDefault="00276D79" w14:paraId="42BE298D" w14:textId="5754E0F3">
      <w:pPr>
        <w:pStyle w:val="Encabezado"/>
        <w:jc w:val="both"/>
        <w:rPr>
          <w:rStyle w:val="normaltextrun"/>
          <w:rFonts w:ascii="Arial" w:hAnsi="Arial" w:cs="Arial"/>
          <w:color w:val="000000"/>
          <w:sz w:val="21"/>
          <w:szCs w:val="21"/>
          <w:shd w:val="clear" w:color="auto" w:fill="FFFFFF"/>
        </w:rPr>
      </w:pPr>
      <w:r w:rsidRPr="00BA4085">
        <w:rPr>
          <w:rFonts w:ascii="Arial" w:hAnsi="Arial" w:cs="Arial" w:eastAsiaTheme="minorEastAsia"/>
          <w:b/>
          <w:bCs/>
          <w:sz w:val="21"/>
          <w:szCs w:val="21"/>
          <w:lang w:eastAsia="es-CO"/>
        </w:rPr>
        <w:t>OBJETO</w:t>
      </w:r>
      <w:r w:rsidRPr="00BA4085">
        <w:rPr>
          <w:rFonts w:ascii="Arial" w:hAnsi="Arial" w:cs="Arial"/>
          <w:sz w:val="22"/>
          <w:szCs w:val="22"/>
        </w:rPr>
        <w:t>:</w:t>
      </w:r>
      <w:r w:rsidRPr="003D0ADA" w:rsidR="00D65D5E">
        <w:rPr>
          <w:rFonts w:ascii="Arial" w:hAnsi="Arial" w:cs="Arial"/>
          <w:sz w:val="22"/>
          <w:szCs w:val="22"/>
        </w:rPr>
        <w:t xml:space="preserve"> </w:t>
      </w:r>
      <w:r w:rsidRPr="00280689" w:rsidR="00280689">
        <w:rPr>
          <w:rStyle w:val="normaltextrun"/>
          <w:rFonts w:ascii="Arial" w:hAnsi="Arial" w:cs="Arial"/>
          <w:color w:val="000000"/>
          <w:sz w:val="21"/>
          <w:szCs w:val="21"/>
          <w:shd w:val="clear" w:color="auto" w:fill="FFFFFF"/>
        </w:rPr>
        <w:t>CONTRATAR EL SUMINISTRO DE ENZIMAS (MASTER MIX</w:t>
      </w:r>
      <w:proofErr w:type="gramStart"/>
      <w:r w:rsidRPr="00280689" w:rsidR="00280689">
        <w:rPr>
          <w:rStyle w:val="normaltextrun"/>
          <w:rFonts w:ascii="Arial" w:hAnsi="Arial" w:cs="Arial"/>
          <w:color w:val="000000"/>
          <w:sz w:val="21"/>
          <w:szCs w:val="21"/>
          <w:shd w:val="clear" w:color="auto" w:fill="FFFFFF"/>
        </w:rPr>
        <w:t>) ,</w:t>
      </w:r>
      <w:proofErr w:type="gramEnd"/>
      <w:r w:rsidRPr="00280689" w:rsidR="00280689">
        <w:rPr>
          <w:rStyle w:val="normaltextrun"/>
          <w:rFonts w:ascii="Arial" w:hAnsi="Arial" w:cs="Arial"/>
          <w:color w:val="000000"/>
          <w:sz w:val="21"/>
          <w:szCs w:val="21"/>
          <w:shd w:val="clear" w:color="auto" w:fill="FFFFFF"/>
        </w:rPr>
        <w:t xml:space="preserve"> SONDAS Y PRIMERS REQUERIDOS PARA EL PROCESAMIENTO DE LAS PRUEBAS MOLECULARES DE LOS EVENTOS DE INTERÉS EN SALUD PÚBLICA DE LAS ÁREAS TÉCNICAS DE LA SUBDIRECCIÓN DEL LABORATORIO DE SALUD PÚBLICA DE LA SECRETARÍA DISTRITAL DE SALUD.</w:t>
      </w:r>
    </w:p>
    <w:p w:rsidR="00C01D4D" w:rsidP="00C01D4D" w:rsidRDefault="00C01D4D" w14:paraId="0C711A96" w14:textId="77777777">
      <w:pPr>
        <w:pStyle w:val="Encabezado"/>
        <w:jc w:val="both"/>
        <w:rPr>
          <w:rFonts w:ascii="Arial" w:hAnsi="Arial" w:eastAsia="Arial" w:cs="Arial"/>
          <w:b/>
          <w:bCs/>
          <w:sz w:val="21"/>
          <w:szCs w:val="21"/>
        </w:rPr>
      </w:pPr>
    </w:p>
    <w:p w:rsidRPr="003D0ADA" w:rsidR="1B53446E" w:rsidP="0CD01878" w:rsidRDefault="1F89EA6A" w14:paraId="35E349D4" w14:textId="2442C86C">
      <w:pPr>
        <w:pStyle w:val="paragraph"/>
        <w:shd w:val="clear" w:color="auto" w:fill="FFFFFF" w:themeFill="background1"/>
        <w:spacing w:before="0" w:beforeAutospacing="0" w:after="0" w:afterAutospacing="0"/>
        <w:jc w:val="both"/>
        <w:rPr>
          <w:rFonts w:ascii="Arial" w:hAnsi="Arial" w:eastAsia="Arial" w:cs="Arial"/>
          <w:sz w:val="21"/>
          <w:szCs w:val="21"/>
          <w:lang w:val="es-ES"/>
        </w:rPr>
      </w:pPr>
      <w:r w:rsidRPr="261841DD">
        <w:rPr>
          <w:rFonts w:ascii="Arial" w:hAnsi="Arial" w:eastAsia="Arial" w:cs="Arial"/>
          <w:b/>
          <w:bCs/>
          <w:sz w:val="21"/>
          <w:szCs w:val="21"/>
        </w:rPr>
        <w:t>ALCANCE DEL PROCESO</w:t>
      </w:r>
      <w:r w:rsidRPr="261841DD" w:rsidR="7B021FC3">
        <w:rPr>
          <w:rFonts w:ascii="Arial" w:hAnsi="Arial" w:eastAsia="Arial" w:cs="Arial"/>
          <w:b/>
          <w:bCs/>
          <w:sz w:val="21"/>
          <w:szCs w:val="21"/>
        </w:rPr>
        <w:t>: No Aplica</w:t>
      </w:r>
      <w:r w:rsidRPr="261841DD">
        <w:rPr>
          <w:rFonts w:ascii="Arial" w:hAnsi="Arial" w:eastAsia="Arial" w:cs="Arial"/>
          <w:b/>
          <w:bCs/>
          <w:sz w:val="21"/>
          <w:szCs w:val="21"/>
        </w:rPr>
        <w:t xml:space="preserve"> </w:t>
      </w:r>
    </w:p>
    <w:p w:rsidRPr="003D0ADA" w:rsidR="1EF0CC48" w:rsidP="1EF0CC48" w:rsidRDefault="1EF0CC48" w14:paraId="1DF56B3E" w14:textId="4F57476C">
      <w:pPr>
        <w:rPr>
          <w:rFonts w:ascii="Arial" w:hAnsi="Arial" w:cs="Arial"/>
        </w:rPr>
      </w:pPr>
    </w:p>
    <w:p w:rsidRPr="003D0ADA" w:rsidR="2C4EB5D9" w:rsidP="2C4EB5D9" w:rsidRDefault="2C4EB5D9" w14:paraId="5E12A359" w14:textId="359A85CE">
      <w:pPr>
        <w:rPr>
          <w:rFonts w:ascii="Arial" w:hAnsi="Arial" w:cs="Arial"/>
        </w:rPr>
      </w:pPr>
    </w:p>
    <w:p w:rsidR="009F149D" w:rsidP="6C378C61" w:rsidRDefault="00276D79" w14:paraId="5E67587D" w14:textId="0B334784">
      <w:pPr>
        <w:pStyle w:val="Textoindependiente"/>
        <w:numPr>
          <w:ilvl w:val="0"/>
          <w:numId w:val="12"/>
        </w:numPr>
        <w:tabs>
          <w:tab w:val="left" w:pos="284"/>
        </w:tabs>
        <w:ind w:left="0" w:firstLine="0"/>
        <w:rPr>
          <w:rFonts w:ascii="Arial" w:hAnsi="Arial" w:cs="Arial"/>
          <w:b/>
          <w:bCs/>
          <w:sz w:val="22"/>
          <w:szCs w:val="22"/>
          <w:lang w:val="es-CO"/>
        </w:rPr>
      </w:pPr>
      <w:r w:rsidRPr="79D8FB7C">
        <w:rPr>
          <w:rFonts w:ascii="Arial" w:hAnsi="Arial" w:cs="Arial"/>
          <w:b/>
          <w:bCs/>
          <w:sz w:val="22"/>
          <w:szCs w:val="22"/>
          <w:lang w:val="es-CO"/>
        </w:rPr>
        <w:t xml:space="preserve">CLASIFICACIÓN UNSPSC </w:t>
      </w:r>
    </w:p>
    <w:p w:rsidR="00C01D4D" w:rsidP="00C01D4D" w:rsidRDefault="00C01D4D" w14:paraId="494B36FE" w14:textId="044296D0">
      <w:pPr>
        <w:pStyle w:val="Textoindependiente"/>
        <w:tabs>
          <w:tab w:val="left" w:pos="284"/>
        </w:tabs>
        <w:rPr>
          <w:rFonts w:ascii="Arial" w:hAnsi="Arial" w:cs="Arial"/>
          <w:b/>
          <w:sz w:val="22"/>
          <w:szCs w:val="22"/>
          <w:lang w:val="es-CO"/>
        </w:rPr>
      </w:pPr>
    </w:p>
    <w:tbl>
      <w:tblPr>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2205"/>
        <w:gridCol w:w="2250"/>
        <w:gridCol w:w="2265"/>
        <w:gridCol w:w="2265"/>
      </w:tblGrid>
      <w:tr w:rsidRPr="003E41D9" w:rsidR="35268731" w:rsidTr="055A1E27" w14:paraId="3D0FCD14" w14:textId="77777777">
        <w:trPr>
          <w:trHeight w:val="285"/>
        </w:trPr>
        <w:tc>
          <w:tcPr>
            <w:tcW w:w="2205" w:type="dxa"/>
            <w:tcBorders>
              <w:top w:val="single" w:color="000000" w:themeColor="text1" w:sz="6" w:space="0"/>
              <w:left w:val="single" w:color="000000" w:themeColor="text1" w:sz="6" w:space="0"/>
              <w:bottom w:val="single" w:color="auto" w:sz="6" w:space="0"/>
              <w:right w:val="single" w:color="000000" w:themeColor="text1" w:sz="6" w:space="0"/>
            </w:tcBorders>
            <w:shd w:val="clear" w:color="auto" w:fill="D9D9D9" w:themeFill="background1" w:themeFillShade="D9"/>
            <w:tcMar>
              <w:left w:w="105" w:type="dxa"/>
              <w:right w:w="105" w:type="dxa"/>
            </w:tcMar>
            <w:vAlign w:val="center"/>
          </w:tcPr>
          <w:p w:rsidRPr="003E41D9" w:rsidR="35268731" w:rsidP="35268731" w:rsidRDefault="57B6E4A8" w14:paraId="1D5DB0A8" w14:textId="7F269229">
            <w:pPr>
              <w:jc w:val="center"/>
              <w:rPr>
                <w:rFonts w:ascii="Arial" w:hAnsi="Arial" w:eastAsia="Arial" w:cs="Arial"/>
                <w:color w:val="000000" w:themeColor="text1"/>
                <w:sz w:val="18"/>
                <w:szCs w:val="18"/>
              </w:rPr>
            </w:pPr>
            <w:r w:rsidRPr="030C088D">
              <w:rPr>
                <w:rFonts w:ascii="Arial" w:hAnsi="Arial" w:eastAsia="Arial" w:cs="Arial"/>
                <w:b/>
                <w:bCs/>
                <w:color w:val="000000" w:themeColor="text1"/>
                <w:sz w:val="18"/>
                <w:szCs w:val="18"/>
              </w:rPr>
              <w:t>SEGMENTO</w:t>
            </w:r>
          </w:p>
        </w:tc>
        <w:tc>
          <w:tcPr>
            <w:tcW w:w="2250" w:type="dxa"/>
            <w:tcBorders>
              <w:top w:val="single" w:color="000000" w:themeColor="text1" w:sz="6" w:space="0"/>
              <w:left w:val="single" w:color="000000" w:themeColor="text1" w:sz="6" w:space="0"/>
              <w:bottom w:val="single" w:color="auto" w:sz="6" w:space="0"/>
              <w:right w:val="single" w:color="000000" w:themeColor="text1" w:sz="6" w:space="0"/>
            </w:tcBorders>
            <w:shd w:val="clear" w:color="auto" w:fill="D9D9D9" w:themeFill="background1" w:themeFillShade="D9"/>
            <w:tcMar>
              <w:left w:w="105" w:type="dxa"/>
              <w:right w:w="105" w:type="dxa"/>
            </w:tcMar>
            <w:vAlign w:val="center"/>
          </w:tcPr>
          <w:p w:rsidRPr="003E41D9" w:rsidR="35268731" w:rsidP="35268731" w:rsidRDefault="35268731" w14:paraId="5712B796" w14:textId="0EBD0773">
            <w:pPr>
              <w:jc w:val="center"/>
              <w:rPr>
                <w:rFonts w:ascii="Arial" w:hAnsi="Arial" w:eastAsia="Arial" w:cs="Arial"/>
                <w:color w:val="000000" w:themeColor="text1"/>
                <w:sz w:val="18"/>
                <w:szCs w:val="18"/>
              </w:rPr>
            </w:pPr>
            <w:r w:rsidRPr="003E41D9">
              <w:rPr>
                <w:rFonts w:ascii="Arial" w:hAnsi="Arial" w:eastAsia="Arial" w:cs="Arial"/>
                <w:b/>
                <w:bCs/>
                <w:color w:val="000000" w:themeColor="text1"/>
                <w:sz w:val="18"/>
                <w:szCs w:val="18"/>
              </w:rPr>
              <w:t>FAMILIA</w:t>
            </w:r>
          </w:p>
        </w:tc>
        <w:tc>
          <w:tcPr>
            <w:tcW w:w="2265" w:type="dxa"/>
            <w:tcBorders>
              <w:top w:val="single" w:color="000000" w:themeColor="text1" w:sz="6" w:space="0"/>
              <w:left w:val="single" w:color="000000" w:themeColor="text1" w:sz="6" w:space="0"/>
              <w:bottom w:val="single" w:color="auto" w:sz="6" w:space="0"/>
              <w:right w:val="single" w:color="000000" w:themeColor="text1" w:sz="6" w:space="0"/>
            </w:tcBorders>
            <w:shd w:val="clear" w:color="auto" w:fill="D9D9D9" w:themeFill="background1" w:themeFillShade="D9"/>
            <w:tcMar>
              <w:left w:w="105" w:type="dxa"/>
              <w:right w:w="105" w:type="dxa"/>
            </w:tcMar>
            <w:vAlign w:val="center"/>
          </w:tcPr>
          <w:p w:rsidRPr="003E41D9" w:rsidR="35268731" w:rsidP="35268731" w:rsidRDefault="35268731" w14:paraId="571C2559" w14:textId="5E975235">
            <w:pPr>
              <w:jc w:val="center"/>
              <w:rPr>
                <w:rFonts w:ascii="Arial" w:hAnsi="Arial" w:eastAsia="Arial" w:cs="Arial"/>
                <w:color w:val="000000" w:themeColor="text1"/>
                <w:sz w:val="18"/>
                <w:szCs w:val="18"/>
              </w:rPr>
            </w:pPr>
            <w:r w:rsidRPr="003E41D9">
              <w:rPr>
                <w:rFonts w:ascii="Arial" w:hAnsi="Arial" w:eastAsia="Arial" w:cs="Arial"/>
                <w:b/>
                <w:bCs/>
                <w:color w:val="000000" w:themeColor="text1"/>
                <w:sz w:val="18"/>
                <w:szCs w:val="18"/>
              </w:rPr>
              <w:t>CLASE</w:t>
            </w:r>
          </w:p>
        </w:tc>
        <w:tc>
          <w:tcPr>
            <w:tcW w:w="2265" w:type="dxa"/>
            <w:tcBorders>
              <w:top w:val="single" w:color="000000" w:themeColor="text1" w:sz="6" w:space="0"/>
              <w:left w:val="single" w:color="000000" w:themeColor="text1" w:sz="6" w:space="0"/>
              <w:bottom w:val="single" w:color="auto" w:sz="6" w:space="0"/>
              <w:right w:val="single" w:color="000000" w:themeColor="text1" w:sz="6" w:space="0"/>
            </w:tcBorders>
            <w:shd w:val="clear" w:color="auto" w:fill="D9D9D9" w:themeFill="background1" w:themeFillShade="D9"/>
            <w:tcMar>
              <w:left w:w="105" w:type="dxa"/>
              <w:right w:w="105" w:type="dxa"/>
            </w:tcMar>
            <w:vAlign w:val="center"/>
          </w:tcPr>
          <w:p w:rsidRPr="003E41D9" w:rsidR="35268731" w:rsidP="35268731" w:rsidRDefault="35268731" w14:paraId="08734F45" w14:textId="147ABED0">
            <w:pPr>
              <w:jc w:val="center"/>
              <w:rPr>
                <w:rFonts w:ascii="Arial" w:hAnsi="Arial" w:eastAsia="Arial" w:cs="Arial"/>
                <w:color w:val="000000" w:themeColor="text1"/>
                <w:sz w:val="18"/>
                <w:szCs w:val="18"/>
              </w:rPr>
            </w:pPr>
            <w:r w:rsidRPr="003E41D9">
              <w:rPr>
                <w:rFonts w:ascii="Arial" w:hAnsi="Arial" w:eastAsia="Arial" w:cs="Arial"/>
                <w:b/>
                <w:bCs/>
                <w:color w:val="000000" w:themeColor="text1"/>
                <w:sz w:val="18"/>
                <w:szCs w:val="18"/>
              </w:rPr>
              <w:t>PRODUCTO</w:t>
            </w:r>
          </w:p>
        </w:tc>
      </w:tr>
      <w:tr w:rsidRPr="003E41D9" w:rsidR="35268731" w:rsidTr="055A1E27" w14:paraId="4B7966EB"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268731" w:rsidP="0CD01878" w:rsidRDefault="68EB76DB" w14:paraId="45542C17" w14:textId="492E7CC8">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12000000 – Material Químico incluyendo Bioquímicos y Materiales de Gas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268731" w:rsidP="35268731" w:rsidRDefault="35268731" w14:paraId="533ABA4F" w14:textId="40FE9AD5">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12160000 - Aditivos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268731" w:rsidP="35268731" w:rsidRDefault="35268731" w14:paraId="283D5B3E" w14:textId="7C83E2F2">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12161500 – Indicadores y reactivos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268731" w:rsidP="35268731" w:rsidRDefault="35268731" w14:paraId="6B80903A" w14:textId="52D86268">
            <w:pPr>
              <w:jc w:val="center"/>
              <w:rPr>
                <w:rFonts w:ascii="Arial" w:hAnsi="Arial" w:eastAsia="Arial" w:cs="Arial"/>
                <w:color w:val="000000" w:themeColor="text1"/>
                <w:sz w:val="18"/>
                <w:szCs w:val="18"/>
              </w:rPr>
            </w:pPr>
          </w:p>
        </w:tc>
      </w:tr>
      <w:tr w:rsidRPr="003E41D9" w:rsidR="00C57892" w:rsidTr="055A1E27" w14:paraId="4F901A41"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CD01878" w:rsidRDefault="12FAC664" w14:paraId="5523F04A" w14:textId="652D58B1">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12000000 – Material Químico incluyendo Bioquímicos y Materiales de Gas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5EC621D8" w14:textId="12AA0103">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12160000 - Aditivos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720D48F0" w14:textId="1EF59972">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12161500 – Indicadores y reactivos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02B4077E" w14:textId="4F0C7D95">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12161503 – Kits de reactivos</w:t>
            </w:r>
          </w:p>
        </w:tc>
      </w:tr>
      <w:tr w:rsidRPr="003E41D9" w:rsidR="00C57892" w:rsidTr="055A1E27" w14:paraId="29AFFCCC"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CD01878" w:rsidRDefault="00C57892" w14:paraId="6C479F01" w14:textId="12C77EE4">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41000000 – </w:t>
            </w:r>
            <w:r w:rsidRPr="00B63773" w:rsidR="5C36CEF5">
              <w:rPr>
                <w:rFonts w:ascii="Arial" w:hAnsi="Arial" w:eastAsia="Arial" w:cs="Arial"/>
                <w:color w:val="000000" w:themeColor="text1"/>
                <w:sz w:val="18"/>
                <w:szCs w:val="18"/>
              </w:rPr>
              <w:t>Equipo</w:t>
            </w:r>
            <w:r w:rsidRPr="00B63773" w:rsidR="163F231E">
              <w:rPr>
                <w:rFonts w:ascii="Arial" w:hAnsi="Arial" w:eastAsia="Arial" w:cs="Arial"/>
                <w:color w:val="000000" w:themeColor="text1"/>
                <w:sz w:val="18"/>
                <w:szCs w:val="18"/>
              </w:rPr>
              <w:t>s</w:t>
            </w:r>
            <w:r w:rsidRPr="00B63773" w:rsidR="5C36CEF5">
              <w:rPr>
                <w:rFonts w:ascii="Arial" w:hAnsi="Arial" w:eastAsia="Arial" w:cs="Arial"/>
                <w:color w:val="000000" w:themeColor="text1"/>
                <w:sz w:val="18"/>
                <w:szCs w:val="18"/>
              </w:rPr>
              <w:t xml:space="preserve"> </w:t>
            </w:r>
            <w:r w:rsidRPr="00B63773" w:rsidR="58E46199">
              <w:rPr>
                <w:rFonts w:ascii="Arial" w:hAnsi="Arial" w:eastAsia="Arial" w:cs="Arial"/>
                <w:color w:val="000000" w:themeColor="text1"/>
                <w:sz w:val="18"/>
                <w:szCs w:val="18"/>
              </w:rPr>
              <w:t>y Suministro</w:t>
            </w:r>
            <w:r w:rsidRPr="00B63773" w:rsidR="5C36CEF5">
              <w:rPr>
                <w:rFonts w:ascii="Arial" w:hAnsi="Arial" w:eastAsia="Arial" w:cs="Arial"/>
                <w:color w:val="000000" w:themeColor="text1"/>
                <w:sz w:val="18"/>
                <w:szCs w:val="18"/>
              </w:rPr>
              <w:t>s</w:t>
            </w:r>
            <w:r w:rsidRPr="00B63773" w:rsidR="76FE6AE7">
              <w:rPr>
                <w:rFonts w:ascii="Arial" w:hAnsi="Arial" w:eastAsia="Arial" w:cs="Arial"/>
                <w:color w:val="000000" w:themeColor="text1"/>
                <w:sz w:val="18"/>
                <w:szCs w:val="18"/>
              </w:rPr>
              <w:t xml:space="preserve">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38E5199F" w14:textId="3C21426B">
            <w:pPr>
              <w:jc w:val="center"/>
            </w:pPr>
            <w:r w:rsidRPr="00B63773">
              <w:rPr>
                <w:rFonts w:ascii="Arial" w:hAnsi="Arial" w:eastAsia="Arial" w:cs="Arial"/>
                <w:color w:val="000000" w:themeColor="text1"/>
                <w:sz w:val="18"/>
                <w:szCs w:val="18"/>
              </w:rPr>
              <w:t xml:space="preserve">41100000 – </w:t>
            </w:r>
            <w:r w:rsidRPr="00B63773" w:rsidR="1D1C699A">
              <w:rPr>
                <w:rFonts w:ascii="Arial" w:hAnsi="Arial" w:eastAsia="Arial" w:cs="Arial"/>
                <w:color w:val="000000" w:themeColor="text1"/>
                <w:sz w:val="18"/>
                <w:szCs w:val="18"/>
              </w:rPr>
              <w:t>Equipo</w:t>
            </w:r>
            <w:r w:rsidRPr="00B63773" w:rsidR="5E84F73D">
              <w:rPr>
                <w:rFonts w:ascii="Arial" w:hAnsi="Arial" w:eastAsia="Arial" w:cs="Arial"/>
                <w:color w:val="000000" w:themeColor="text1"/>
                <w:sz w:val="18"/>
                <w:szCs w:val="18"/>
              </w:rPr>
              <w:t xml:space="preserve"> de</w:t>
            </w:r>
            <w:r w:rsidRPr="00B63773" w:rsidR="1D1C699A">
              <w:rPr>
                <w:rFonts w:ascii="Arial" w:hAnsi="Arial" w:eastAsia="Arial" w:cs="Arial"/>
                <w:color w:val="000000" w:themeColor="text1"/>
                <w:sz w:val="18"/>
                <w:szCs w:val="18"/>
              </w:rPr>
              <w:t xml:space="preserve"> </w:t>
            </w:r>
            <w:r w:rsidRPr="00B63773" w:rsidR="07FA8488">
              <w:rPr>
                <w:rFonts w:ascii="Arial" w:hAnsi="Arial" w:eastAsia="Arial" w:cs="Arial"/>
                <w:color w:val="000000" w:themeColor="text1"/>
                <w:sz w:val="18"/>
                <w:szCs w:val="18"/>
              </w:rPr>
              <w:t>laboratorio y científico.</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18D320D2" w14:textId="0AEF6C42">
            <w:pPr>
              <w:jc w:val="center"/>
            </w:pPr>
            <w:r w:rsidRPr="00B63773">
              <w:rPr>
                <w:rFonts w:ascii="Arial" w:hAnsi="Arial" w:eastAsia="Arial" w:cs="Arial"/>
                <w:color w:val="000000" w:themeColor="text1"/>
                <w:sz w:val="18"/>
                <w:szCs w:val="18"/>
              </w:rPr>
              <w:t xml:space="preserve">41104800 – </w:t>
            </w:r>
            <w:r w:rsidRPr="00B63773" w:rsidR="3BDF39FB">
              <w:rPr>
                <w:rFonts w:ascii="Arial" w:hAnsi="Arial" w:eastAsia="Arial" w:cs="Arial"/>
                <w:color w:val="000000" w:themeColor="text1"/>
                <w:sz w:val="18"/>
                <w:szCs w:val="18"/>
              </w:rPr>
              <w:t xml:space="preserve">Equipo y suministros de </w:t>
            </w:r>
            <w:r w:rsidRPr="00B63773" w:rsidR="0563461B">
              <w:rPr>
                <w:rFonts w:ascii="Arial" w:hAnsi="Arial" w:eastAsia="Arial" w:cs="Arial"/>
                <w:color w:val="000000" w:themeColor="text1"/>
                <w:sz w:val="18"/>
                <w:szCs w:val="18"/>
              </w:rPr>
              <w:t>laboratorio para el vertido, la destilación, la evaporación y la extracción.</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4C1B03DD" w14:textId="57F2B253">
            <w:pPr>
              <w:jc w:val="center"/>
              <w:rPr>
                <w:rFonts w:ascii="Arial" w:hAnsi="Arial" w:eastAsia="Arial" w:cs="Arial"/>
                <w:color w:val="000000" w:themeColor="text1"/>
                <w:sz w:val="18"/>
                <w:szCs w:val="18"/>
              </w:rPr>
            </w:pPr>
          </w:p>
        </w:tc>
      </w:tr>
      <w:tr w:rsidRPr="003E41D9" w:rsidR="009E2963" w:rsidTr="055A1E27" w14:paraId="45BC3F95"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59D2790" w14:textId="50FA77E6">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41000000 – Equipos y Suministros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56F016BE" w14:textId="4C166ADC">
            <w:pPr>
              <w:jc w:val="center"/>
            </w:pPr>
            <w:r w:rsidRPr="00B63773">
              <w:rPr>
                <w:rFonts w:ascii="Arial" w:hAnsi="Arial" w:eastAsia="Arial" w:cs="Arial"/>
                <w:color w:val="000000" w:themeColor="text1"/>
                <w:sz w:val="18"/>
                <w:szCs w:val="18"/>
              </w:rPr>
              <w:t>41100000 – Equipo de laboratorio y científico.</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646AD7EC" w14:textId="26BEBC60">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41105500 – Kits y componentes de extracción y purificación y cuantificación de ADN y ARN de ácidos nucleicos 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71EA5498" w14:textId="1A1E8560">
            <w:pPr>
              <w:jc w:val="center"/>
              <w:rPr>
                <w:rFonts w:ascii="Arial" w:hAnsi="Arial" w:eastAsia="Arial" w:cs="Arial"/>
                <w:color w:val="000000" w:themeColor="text1"/>
                <w:sz w:val="18"/>
                <w:szCs w:val="18"/>
              </w:rPr>
            </w:pPr>
          </w:p>
        </w:tc>
      </w:tr>
      <w:tr w:rsidRPr="003E41D9" w:rsidR="00C57892" w:rsidTr="055A1E27" w14:paraId="22E8A19E" w14:textId="77777777">
        <w:trPr>
          <w:trHeight w:val="111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88B75B" w:rsidP="3588B75B" w:rsidRDefault="3588B75B" w14:paraId="3A30F721" w14:textId="12C77EE4">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41000000 – Equipos y Suministros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3588B75B" w:rsidP="3588B75B" w:rsidRDefault="3588B75B" w14:paraId="0FC5291A" w14:textId="3C21426B">
            <w:pPr>
              <w:jc w:val="center"/>
            </w:pPr>
            <w:r w:rsidRPr="00B63773">
              <w:rPr>
                <w:rFonts w:ascii="Arial" w:hAnsi="Arial" w:eastAsia="Arial" w:cs="Arial"/>
                <w:color w:val="000000" w:themeColor="text1"/>
                <w:sz w:val="18"/>
                <w:szCs w:val="18"/>
              </w:rPr>
              <w:t>41100000 – Equipo de laboratorio y científico.</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78E6F039" w14:textId="477FD06A">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41105500 – </w:t>
            </w:r>
            <w:r w:rsidRPr="00B63773" w:rsidR="76B7FFC8">
              <w:rPr>
                <w:rFonts w:ascii="Arial" w:hAnsi="Arial" w:eastAsia="Arial" w:cs="Arial"/>
                <w:color w:val="000000" w:themeColor="text1"/>
                <w:sz w:val="18"/>
                <w:szCs w:val="18"/>
              </w:rPr>
              <w:t xml:space="preserve">Kits y componentes de extracción y purificación y cuantificación de ADN y ARN de ácidos nucleicos </w:t>
            </w:r>
            <w:r w:rsidRPr="00B63773">
              <w:rPr>
                <w:rFonts w:ascii="Arial" w:hAnsi="Arial" w:eastAsia="Arial" w:cs="Arial"/>
                <w:color w:val="000000" w:themeColor="text1"/>
                <w:sz w:val="18"/>
                <w:szCs w:val="18"/>
              </w:rPr>
              <w:t>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C57892" w:rsidP="00C57892" w:rsidRDefault="00C57892" w14:paraId="75727B5A" w14:textId="18D55DF3">
            <w:pPr>
              <w:jc w:val="center"/>
            </w:pPr>
            <w:r w:rsidRPr="00B63773">
              <w:rPr>
                <w:rFonts w:ascii="Arial" w:hAnsi="Arial" w:eastAsia="Arial" w:cs="Arial"/>
                <w:color w:val="000000" w:themeColor="text1"/>
                <w:sz w:val="18"/>
                <w:szCs w:val="18"/>
              </w:rPr>
              <w:t xml:space="preserve">41105502 – </w:t>
            </w:r>
            <w:r w:rsidRPr="00B63773" w:rsidR="617709C3">
              <w:rPr>
                <w:rFonts w:ascii="Arial" w:hAnsi="Arial" w:eastAsia="Arial" w:cs="Arial"/>
                <w:color w:val="000000" w:themeColor="text1"/>
                <w:sz w:val="18"/>
                <w:szCs w:val="18"/>
              </w:rPr>
              <w:t xml:space="preserve">Kits para </w:t>
            </w:r>
          </w:p>
          <w:p w:rsidRPr="00B63773" w:rsidR="7E2C800B" w:rsidP="3588B75B" w:rsidRDefault="7E2C800B" w14:paraId="664CE06A" w14:textId="03922D42">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Extrae ácido desoxirribonucleico dna de alimentos.</w:t>
            </w:r>
          </w:p>
          <w:p w:rsidRPr="00B63773" w:rsidR="00C57892" w:rsidP="00C57892" w:rsidRDefault="00C57892" w14:paraId="1C116557" w14:textId="6C3FD1E7">
            <w:pPr>
              <w:jc w:val="center"/>
              <w:rPr>
                <w:rFonts w:ascii="Arial" w:hAnsi="Arial" w:eastAsia="Arial" w:cs="Arial"/>
                <w:color w:val="000000" w:themeColor="text1"/>
                <w:sz w:val="18"/>
                <w:szCs w:val="18"/>
              </w:rPr>
            </w:pPr>
          </w:p>
        </w:tc>
      </w:tr>
      <w:tr w:rsidRPr="003E41D9" w:rsidR="009E2963" w:rsidTr="055A1E27" w14:paraId="631AC10A" w14:textId="77777777">
        <w:trPr>
          <w:trHeight w:val="111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E8ABB23" w14:textId="697BB601">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41000000 – Equipos y Suministros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4B39DE0B" w14:textId="4A02270B">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41100000 – Equipo de laboratorio y científico.</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06082BE8" w14:textId="4FA0B34D">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41105600 - Productos de secuenciación de ácido desoxirribonucleico (ADN).</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028929F1" w14:textId="77777777">
            <w:pPr>
              <w:jc w:val="center"/>
              <w:rPr>
                <w:rFonts w:ascii="Arial" w:hAnsi="Arial" w:eastAsia="Arial" w:cs="Arial"/>
                <w:color w:val="000000" w:themeColor="text1"/>
                <w:sz w:val="18"/>
                <w:szCs w:val="18"/>
              </w:rPr>
            </w:pPr>
          </w:p>
        </w:tc>
      </w:tr>
      <w:tr w:rsidRPr="003E41D9" w:rsidR="009E2963" w:rsidTr="055A1E27" w14:paraId="2AD98860"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62D0C84A" w14:textId="12C77EE4">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41000000 – Equipos y Suministros de Laboratorio, de Medición, de </w:t>
            </w:r>
            <w:r w:rsidRPr="00B63773">
              <w:rPr>
                <w:rFonts w:ascii="Arial" w:hAnsi="Arial" w:eastAsia="Arial" w:cs="Arial"/>
                <w:color w:val="000000" w:themeColor="text1"/>
                <w:sz w:val="18"/>
                <w:szCs w:val="18"/>
              </w:rPr>
              <w:t>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EFBB494" w14:textId="3C21426B">
            <w:pPr>
              <w:jc w:val="center"/>
            </w:pPr>
            <w:r w:rsidRPr="00B63773">
              <w:rPr>
                <w:rFonts w:ascii="Arial" w:hAnsi="Arial" w:eastAsia="Arial" w:cs="Arial"/>
                <w:color w:val="000000" w:themeColor="text1"/>
                <w:sz w:val="18"/>
                <w:szCs w:val="18"/>
              </w:rPr>
              <w:t>41100000 – Equipo de laboratorio y científico.</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4C513D82" w14:textId="58472EF2">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41105600 - Productos de secuenciación de ácido desoxirribonucleico (ADN).</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54FAB8A7" w14:textId="5A2AFE9B">
            <w:pPr>
              <w:jc w:val="center"/>
            </w:pPr>
            <w:r w:rsidRPr="00B63773">
              <w:rPr>
                <w:rFonts w:ascii="Arial" w:hAnsi="Arial" w:eastAsia="Arial" w:cs="Arial"/>
                <w:color w:val="000000" w:themeColor="text1"/>
                <w:sz w:val="18"/>
                <w:szCs w:val="18"/>
              </w:rPr>
              <w:t>41105601 – Kits o enzimas para secuenciación</w:t>
            </w:r>
          </w:p>
          <w:p w:rsidRPr="00B63773" w:rsidR="009E2963" w:rsidP="009E2963" w:rsidRDefault="009E2963" w14:paraId="63B17B71" w14:textId="107A0350">
            <w:pPr>
              <w:jc w:val="center"/>
              <w:rPr>
                <w:rFonts w:ascii="Arial" w:hAnsi="Arial" w:eastAsia="Arial" w:cs="Arial"/>
                <w:color w:val="000000" w:themeColor="text1"/>
                <w:sz w:val="18"/>
                <w:szCs w:val="18"/>
              </w:rPr>
            </w:pPr>
          </w:p>
        </w:tc>
      </w:tr>
      <w:tr w:rsidRPr="003E41D9" w:rsidR="009E2963" w:rsidTr="055A1E27" w14:paraId="67B57BBA"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48CB9EBC" w14:textId="12C77EE4">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41000000 – Equipos y Suministros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07387932" w14:textId="382D23D7">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41110000 – Instrumentos de medida, observación y ensayo.</w:t>
            </w:r>
          </w:p>
          <w:p w:rsidRPr="00B63773" w:rsidR="009E2963" w:rsidP="009E2963" w:rsidRDefault="009E2963" w14:paraId="1FEEE2AD" w14:textId="01CA75B4">
            <w:pPr>
              <w:jc w:val="center"/>
              <w:rPr>
                <w:rFonts w:ascii="Arial" w:hAnsi="Arial" w:eastAsia="Arial" w:cs="Arial"/>
                <w:color w:val="000000" w:themeColor="text1"/>
                <w:sz w:val="18"/>
                <w:szCs w:val="18"/>
              </w:rPr>
            </w:pP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06C05C06" w14:textId="15B64C33">
            <w:pPr>
              <w:jc w:val="center"/>
              <w:rPr>
                <w:rFonts w:ascii="Arial" w:hAnsi="Arial" w:eastAsia="Arial" w:cs="Arial"/>
                <w:sz w:val="18"/>
                <w:szCs w:val="18"/>
              </w:rPr>
            </w:pPr>
            <w:r w:rsidRPr="00B63773">
              <w:rPr>
                <w:rFonts w:ascii="Arial" w:hAnsi="Arial" w:eastAsia="Arial" w:cs="Arial"/>
                <w:color w:val="000000" w:themeColor="text1"/>
                <w:sz w:val="18"/>
                <w:szCs w:val="18"/>
              </w:rPr>
              <w:t xml:space="preserve">41116100 – </w:t>
            </w:r>
            <w:r w:rsidRPr="00B63773">
              <w:rPr>
                <w:rFonts w:ascii="Arial" w:hAnsi="Arial" w:eastAsia="Arial" w:cs="Arial"/>
                <w:sz w:val="18"/>
                <w:szCs w:val="18"/>
              </w:rPr>
              <w:t>Kits de ensayos manuales, controles de calidad, calibradores y normativas.</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C96FEB1" w14:textId="77777777">
            <w:pPr>
              <w:jc w:val="center"/>
              <w:rPr>
                <w:rFonts w:ascii="Arial" w:hAnsi="Arial" w:eastAsia="Arial" w:cs="Arial"/>
                <w:color w:val="000000" w:themeColor="text1"/>
                <w:sz w:val="18"/>
                <w:szCs w:val="18"/>
              </w:rPr>
            </w:pPr>
          </w:p>
        </w:tc>
      </w:tr>
      <w:tr w:rsidRPr="003E41D9" w:rsidR="009E2963" w:rsidTr="055A1E27" w14:paraId="24E0B11F"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2DBBE307" w14:textId="12C77EE4">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41000000 – Equipos y Suministros de Laboratorio, de Medición, de Observación y de Pruebas.</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E315831" w14:textId="382D23D7">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41110000 – Instrumentos de medida, observación y ensayo.</w:t>
            </w:r>
          </w:p>
          <w:p w:rsidRPr="00B63773" w:rsidR="009E2963" w:rsidP="009E2963" w:rsidRDefault="009E2963" w14:paraId="642C1E30" w14:textId="2B2FFBA9">
            <w:pPr>
              <w:jc w:val="center"/>
              <w:rPr>
                <w:rFonts w:ascii="Arial" w:hAnsi="Arial" w:eastAsia="Arial" w:cs="Arial"/>
                <w:color w:val="000000" w:themeColor="text1"/>
                <w:sz w:val="18"/>
                <w:szCs w:val="18"/>
              </w:rPr>
            </w:pP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3125BCFC" w14:textId="7F49B64B">
            <w:pPr>
              <w:jc w:val="center"/>
              <w:rPr>
                <w:rFonts w:ascii="Arial" w:hAnsi="Arial" w:eastAsia="Arial" w:cs="Arial"/>
                <w:sz w:val="18"/>
                <w:szCs w:val="18"/>
              </w:rPr>
            </w:pPr>
            <w:r w:rsidRPr="00B63773">
              <w:rPr>
                <w:rFonts w:ascii="Arial" w:hAnsi="Arial" w:eastAsia="Arial" w:cs="Arial"/>
                <w:color w:val="000000" w:themeColor="text1"/>
                <w:sz w:val="18"/>
                <w:szCs w:val="18"/>
              </w:rPr>
              <w:t xml:space="preserve">41116100 – </w:t>
            </w:r>
            <w:r w:rsidRPr="00B63773">
              <w:rPr>
                <w:rFonts w:ascii="Arial" w:hAnsi="Arial" w:eastAsia="Arial" w:cs="Arial"/>
                <w:sz w:val="18"/>
                <w:szCs w:val="18"/>
              </w:rPr>
              <w:t>Kits de ensayos manuales, controles de calidad, calibradores y normativas.</w:t>
            </w:r>
          </w:p>
          <w:p w:rsidRPr="00B63773" w:rsidR="009E2963" w:rsidP="009E2963" w:rsidRDefault="009E2963" w14:paraId="527F8FA3" w14:textId="16CC523E">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 </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660D2587" w14:textId="4AB4AB9C">
            <w:pPr>
              <w:jc w:val="center"/>
              <w:rPr>
                <w:rFonts w:ascii="Arial" w:hAnsi="Arial" w:eastAsia="Arial" w:cs="Arial"/>
                <w:sz w:val="18"/>
                <w:szCs w:val="18"/>
              </w:rPr>
            </w:pPr>
            <w:r w:rsidRPr="00B63773">
              <w:rPr>
                <w:rFonts w:ascii="Arial" w:hAnsi="Arial" w:eastAsia="Arial" w:cs="Arial"/>
                <w:color w:val="000000" w:themeColor="text1"/>
                <w:sz w:val="18"/>
                <w:szCs w:val="18"/>
              </w:rPr>
              <w:t xml:space="preserve">41116105 – </w:t>
            </w:r>
            <w:r w:rsidRPr="00B63773">
              <w:rPr>
                <w:rFonts w:ascii="Arial" w:hAnsi="Arial" w:eastAsia="Arial" w:cs="Arial"/>
                <w:sz w:val="18"/>
                <w:szCs w:val="18"/>
              </w:rPr>
              <w:t>Reactivos o soluciones químicas</w:t>
            </w:r>
          </w:p>
          <w:p w:rsidRPr="00B63773" w:rsidR="009E2963" w:rsidP="009E2963" w:rsidRDefault="009E2963" w14:paraId="02B640CD" w14:textId="056F2A24">
            <w:pPr>
              <w:jc w:val="center"/>
              <w:rPr>
                <w:rFonts w:ascii="Arial" w:hAnsi="Arial" w:eastAsia="Arial" w:cs="Arial"/>
                <w:color w:val="000000" w:themeColor="text1"/>
                <w:sz w:val="18"/>
                <w:szCs w:val="18"/>
              </w:rPr>
            </w:pPr>
          </w:p>
        </w:tc>
      </w:tr>
      <w:tr w:rsidRPr="003E41D9" w:rsidR="009E2963" w:rsidTr="055A1E27" w14:paraId="37161E79"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6C6609C9" w14:textId="3258304C">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85000000 – Servicio de Salud</w:t>
            </w: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0ED3DDEA" w14:textId="7A9FFF11">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85100000 – Servicios Integrales de Salud.</w:t>
            </w:r>
          </w:p>
          <w:p w:rsidRPr="00B63773" w:rsidR="009E2963" w:rsidP="009E2963" w:rsidRDefault="009E2963" w14:paraId="1A10134D" w14:textId="7A33EDE7">
            <w:pPr>
              <w:jc w:val="center"/>
              <w:rPr>
                <w:rFonts w:ascii="Arial" w:hAnsi="Arial" w:eastAsia="Arial" w:cs="Arial"/>
                <w:color w:val="000000" w:themeColor="text1"/>
                <w:sz w:val="18"/>
                <w:szCs w:val="18"/>
              </w:rPr>
            </w:pP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1C5FB671" w14:textId="23163297">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85101700 – </w:t>
            </w:r>
            <w:r w:rsidRPr="00B63773">
              <w:rPr>
                <w:rFonts w:ascii="Arial" w:hAnsi="Arial" w:eastAsia="Arial" w:cs="Arial"/>
                <w:sz w:val="18"/>
                <w:szCs w:val="18"/>
              </w:rPr>
              <w:t>Servicios de administración de Salud</w:t>
            </w: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B63773" w:rsidR="009E2963" w:rsidP="009E2963" w:rsidRDefault="009E2963" w14:paraId="262D3075" w14:textId="643AE600">
            <w:pPr>
              <w:jc w:val="center"/>
              <w:rPr>
                <w:rFonts w:ascii="Arial" w:hAnsi="Arial" w:eastAsia="Arial" w:cs="Arial"/>
                <w:color w:val="000000" w:themeColor="text1"/>
                <w:sz w:val="18"/>
                <w:szCs w:val="18"/>
              </w:rPr>
            </w:pPr>
            <w:r w:rsidRPr="00B63773">
              <w:rPr>
                <w:rFonts w:ascii="Arial" w:hAnsi="Arial" w:eastAsia="Arial" w:cs="Arial"/>
                <w:color w:val="000000" w:themeColor="text1"/>
                <w:sz w:val="18"/>
                <w:szCs w:val="18"/>
              </w:rPr>
              <w:t xml:space="preserve">85101701 – </w:t>
            </w:r>
            <w:r w:rsidRPr="00B63773">
              <w:rPr>
                <w:rFonts w:ascii="Arial" w:hAnsi="Arial" w:eastAsia="Arial" w:cs="Arial"/>
                <w:sz w:val="18"/>
                <w:szCs w:val="18"/>
              </w:rPr>
              <w:t>Política de Salud</w:t>
            </w:r>
          </w:p>
        </w:tc>
      </w:tr>
      <w:tr w:rsidR="009E2963" w:rsidTr="055A1E27" w14:paraId="1ECF4960" w14:textId="77777777">
        <w:trPr>
          <w:trHeight w:val="300"/>
        </w:trPr>
        <w:tc>
          <w:tcPr>
            <w:tcW w:w="220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009E2963" w:rsidP="009E2963" w:rsidRDefault="009E2963" w14:paraId="627ED05A" w14:textId="00444990">
            <w:pPr>
              <w:jc w:val="center"/>
              <w:rPr>
                <w:rFonts w:ascii="Arial" w:hAnsi="Arial" w:eastAsia="Arial" w:cs="Arial"/>
                <w:color w:val="000000" w:themeColor="text1"/>
                <w:sz w:val="18"/>
                <w:szCs w:val="18"/>
              </w:rPr>
            </w:pPr>
          </w:p>
        </w:tc>
        <w:tc>
          <w:tcPr>
            <w:tcW w:w="2250"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009E2963" w:rsidP="009E2963" w:rsidRDefault="009E2963" w14:paraId="1B2AFAA4" w14:textId="0F716B27">
            <w:pPr>
              <w:jc w:val="center"/>
              <w:rPr>
                <w:rFonts w:ascii="Arial" w:hAnsi="Arial" w:eastAsia="Arial" w:cs="Arial"/>
                <w:color w:val="000000" w:themeColor="text1"/>
                <w:sz w:val="18"/>
                <w:szCs w:val="18"/>
              </w:rPr>
            </w:pP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3E41D9" w:rsidR="009E2963" w:rsidP="009E2963" w:rsidRDefault="009E2963" w14:paraId="2E114528" w14:textId="0C85B382">
            <w:pPr>
              <w:jc w:val="center"/>
              <w:rPr>
                <w:rFonts w:ascii="Arial" w:hAnsi="Arial" w:eastAsia="Arial" w:cs="Arial"/>
                <w:sz w:val="18"/>
                <w:szCs w:val="18"/>
              </w:rPr>
            </w:pPr>
          </w:p>
        </w:tc>
        <w:tc>
          <w:tcPr>
            <w:tcW w:w="226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Pr="003E41D9" w:rsidR="009E2963" w:rsidP="009E2963" w:rsidRDefault="009E2963" w14:paraId="6796C9F9" w14:textId="06696DFB">
            <w:pPr>
              <w:jc w:val="center"/>
              <w:rPr>
                <w:rFonts w:ascii="Arial" w:hAnsi="Arial" w:eastAsia="Arial" w:cs="Arial"/>
                <w:color w:val="000000" w:themeColor="text1"/>
                <w:sz w:val="18"/>
                <w:szCs w:val="18"/>
              </w:rPr>
            </w:pPr>
            <w:commentRangeStart w:id="279335379"/>
            <w:commentRangeEnd w:id="279335379"/>
            <w:r>
              <w:rPr>
                <w:rStyle w:val="CommentReference"/>
              </w:rPr>
              <w:commentReference w:id="279335379"/>
            </w:r>
          </w:p>
        </w:tc>
      </w:tr>
    </w:tbl>
    <w:p w:rsidR="35268731" w:rsidP="35268731" w:rsidRDefault="35268731" w14:paraId="070A76B8" w14:textId="413B3750">
      <w:pPr>
        <w:pStyle w:val="Textoindependiente"/>
        <w:tabs>
          <w:tab w:val="left" w:pos="284"/>
        </w:tabs>
        <w:rPr>
          <w:rFonts w:ascii="Arial" w:hAnsi="Arial" w:cs="Arial"/>
          <w:b/>
          <w:bCs/>
          <w:sz w:val="21"/>
          <w:szCs w:val="21"/>
          <w:lang w:val="es-CO"/>
        </w:rPr>
      </w:pPr>
    </w:p>
    <w:p w:rsidRPr="003D0ADA" w:rsidR="009F149D" w:rsidP="1AEB7189" w:rsidRDefault="00D40589" w14:paraId="6B184C9A" w14:textId="2E3B7B9E">
      <w:pPr>
        <w:pStyle w:val="Textoindependiente"/>
        <w:numPr>
          <w:ilvl w:val="0"/>
          <w:numId w:val="12"/>
        </w:numPr>
        <w:tabs>
          <w:tab w:val="left" w:pos="284"/>
        </w:tabs>
        <w:rPr>
          <w:rFonts w:ascii="Arial" w:hAnsi="Arial" w:cs="Arial"/>
          <w:b/>
          <w:bCs/>
          <w:sz w:val="21"/>
          <w:szCs w:val="21"/>
          <w:lang w:val="es-CO"/>
        </w:rPr>
      </w:pPr>
      <w:r w:rsidRPr="1AEB7189">
        <w:rPr>
          <w:rFonts w:ascii="Arial" w:hAnsi="Arial" w:cs="Arial"/>
          <w:b/>
          <w:bCs/>
          <w:sz w:val="21"/>
          <w:szCs w:val="21"/>
          <w:lang w:val="es-CO"/>
        </w:rPr>
        <w:t>ASPECTOS GENERALES DEL SECTOR</w:t>
      </w:r>
    </w:p>
    <w:p w:rsidRPr="003D0ADA" w:rsidR="00D40589" w:rsidP="00D86FE0" w:rsidRDefault="00D40589" w14:paraId="1C9B8ECF" w14:textId="16C26827">
      <w:pPr>
        <w:pStyle w:val="Textoindependiente"/>
        <w:tabs>
          <w:tab w:val="left" w:pos="284"/>
        </w:tabs>
        <w:rPr>
          <w:rFonts w:ascii="Arial" w:hAnsi="Arial" w:cs="Arial"/>
          <w:b/>
          <w:sz w:val="21"/>
          <w:szCs w:val="21"/>
          <w:lang w:val="es-CO"/>
        </w:rPr>
      </w:pPr>
    </w:p>
    <w:p w:rsidR="00D40589" w:rsidP="00D86FE0" w:rsidRDefault="00D40589" w14:paraId="181BE417" w14:textId="09300844">
      <w:pPr>
        <w:pStyle w:val="Textoindependiente"/>
        <w:tabs>
          <w:tab w:val="left" w:pos="284"/>
        </w:tabs>
        <w:rPr>
          <w:rFonts w:ascii="Arial" w:hAnsi="Arial" w:cs="Arial"/>
          <w:bCs/>
          <w:sz w:val="21"/>
          <w:szCs w:val="21"/>
          <w:lang w:val="es-CO"/>
        </w:rPr>
      </w:pPr>
      <w:r w:rsidRPr="003D0ADA">
        <w:rPr>
          <w:rFonts w:ascii="Arial" w:hAnsi="Arial" w:cs="Arial"/>
          <w:bCs/>
          <w:sz w:val="21"/>
          <w:szCs w:val="21"/>
          <w:lang w:val="es-CO"/>
        </w:rPr>
        <w:t>El presente estudio describe las principales características de los diferentes sectores identificados por la Secretaria Distrital de Salud – Fondo Financiero Distrital de Salud, por tal razón se abordan diferentes clasificaciones con el fin de caracterizar los elementos que se requieren en la necesidad.</w:t>
      </w:r>
    </w:p>
    <w:p w:rsidR="00280689" w:rsidP="00D86FE0" w:rsidRDefault="00280689" w14:paraId="5FA12079" w14:textId="77777777">
      <w:pPr>
        <w:pStyle w:val="Textoindependiente"/>
        <w:tabs>
          <w:tab w:val="left" w:pos="284"/>
        </w:tabs>
        <w:rPr>
          <w:rFonts w:ascii="Arial" w:hAnsi="Arial" w:cs="Arial"/>
          <w:bCs/>
          <w:sz w:val="21"/>
          <w:szCs w:val="21"/>
          <w:lang w:val="es-CO"/>
        </w:rPr>
      </w:pPr>
    </w:p>
    <w:p w:rsidRPr="00D9657B" w:rsidR="00280689" w:rsidP="00280689" w:rsidRDefault="00280689" w14:paraId="03282A95" w14:textId="77777777">
      <w:pPr>
        <w:jc w:val="both"/>
        <w:rPr>
          <w:rFonts w:ascii="Arial" w:hAnsi="Arial" w:cs="Arial"/>
          <w:sz w:val="22"/>
          <w:szCs w:val="22"/>
        </w:rPr>
      </w:pPr>
      <w:r w:rsidRPr="00D9657B">
        <w:rPr>
          <w:rFonts w:ascii="Arial" w:hAnsi="Arial" w:cs="Arial"/>
          <w:sz w:val="22"/>
          <w:szCs w:val="22"/>
        </w:rPr>
        <w:t xml:space="preserve">Asimismo, dentro de la información consultada </w:t>
      </w:r>
      <w:r w:rsidRPr="00280689">
        <w:rPr>
          <w:rFonts w:ascii="Arial" w:hAnsi="Arial" w:cs="Arial"/>
          <w:sz w:val="22"/>
          <w:szCs w:val="22"/>
        </w:rPr>
        <w:t>para el estudio de mercado y análisis del sector, se evidenció una pequeña participación de empresas lideradas por mujeres dentro del mercado de reactivos y suministros biológicos. Con el fin de promover la equidad de género y la inclusión en el sistema de compras públicas, y e</w:t>
      </w:r>
      <w:r w:rsidRPr="00D9657B">
        <w:rPr>
          <w:rFonts w:ascii="Arial" w:hAnsi="Arial" w:cs="Arial"/>
          <w:sz w:val="22"/>
          <w:szCs w:val="22"/>
        </w:rPr>
        <w:t>n concordancia con las acciones afirmativas previstas en el artículo 32 de la Ley 2069 de 2020 y sus decretos reglamentarios compilados en el Decreto 1082 de 2015, la entidad evaluó la viabilidad de incorporar criterios diferenciales para emprendimientos y empresas de mujeres.</w:t>
      </w:r>
    </w:p>
    <w:p w:rsidRPr="00D9657B" w:rsidR="00280689" w:rsidP="00280689" w:rsidRDefault="00280689" w14:paraId="36F650CC" w14:textId="77777777">
      <w:pPr>
        <w:jc w:val="both"/>
        <w:rPr>
          <w:rFonts w:ascii="Arial" w:hAnsi="Arial" w:cs="Arial"/>
          <w:sz w:val="22"/>
          <w:szCs w:val="22"/>
        </w:rPr>
      </w:pPr>
    </w:p>
    <w:p w:rsidR="00280689" w:rsidP="00280689" w:rsidRDefault="00280689" w14:paraId="22868492" w14:textId="77777777">
      <w:pPr>
        <w:jc w:val="both"/>
        <w:rPr>
          <w:rFonts w:ascii="Arial" w:hAnsi="Arial" w:cs="Arial"/>
          <w:sz w:val="22"/>
          <w:szCs w:val="22"/>
        </w:rPr>
      </w:pPr>
      <w:r w:rsidRPr="00D9657B">
        <w:rPr>
          <w:rFonts w:ascii="Arial" w:hAnsi="Arial" w:cs="Arial"/>
          <w:sz w:val="22"/>
          <w:szCs w:val="22"/>
        </w:rPr>
        <w:t xml:space="preserve">Al respecto, se precisa que, por tratarse de un procedimiento de Selección Abreviada por Subasta Inversa </w:t>
      </w:r>
      <w:r>
        <w:rPr>
          <w:rFonts w:ascii="Arial" w:hAnsi="Arial" w:cs="Arial"/>
          <w:sz w:val="22"/>
          <w:szCs w:val="22"/>
        </w:rPr>
        <w:t>el</w:t>
      </w:r>
      <w:r w:rsidRPr="00D9657B">
        <w:rPr>
          <w:rFonts w:ascii="Arial" w:hAnsi="Arial" w:cs="Arial"/>
          <w:sz w:val="22"/>
          <w:szCs w:val="22"/>
        </w:rPr>
        <w:t xml:space="preserve"> factor determinante de adjudicación </w:t>
      </w:r>
      <w:r>
        <w:rPr>
          <w:rFonts w:ascii="Arial" w:hAnsi="Arial" w:cs="Arial"/>
          <w:sz w:val="22"/>
          <w:szCs w:val="22"/>
        </w:rPr>
        <w:t xml:space="preserve">será el menor precio, el cumplimiento </w:t>
      </w:r>
      <w:r w:rsidRPr="00D9657B">
        <w:rPr>
          <w:rFonts w:ascii="Arial" w:hAnsi="Arial" w:cs="Arial"/>
          <w:sz w:val="22"/>
          <w:szCs w:val="22"/>
        </w:rPr>
        <w:t xml:space="preserve">técnico, </w:t>
      </w:r>
      <w:r>
        <w:rPr>
          <w:rFonts w:ascii="Arial" w:hAnsi="Arial" w:cs="Arial"/>
          <w:sz w:val="22"/>
          <w:szCs w:val="22"/>
        </w:rPr>
        <w:t>jurídico y financiero, cuya</w:t>
      </w:r>
      <w:r w:rsidRPr="00D9657B">
        <w:rPr>
          <w:rFonts w:ascii="Arial" w:hAnsi="Arial" w:cs="Arial"/>
          <w:sz w:val="22"/>
          <w:szCs w:val="22"/>
        </w:rPr>
        <w:t xml:space="preserve"> normatividad </w:t>
      </w:r>
      <w:r>
        <w:rPr>
          <w:rFonts w:ascii="Arial" w:hAnsi="Arial" w:cs="Arial"/>
          <w:sz w:val="22"/>
          <w:szCs w:val="22"/>
        </w:rPr>
        <w:t xml:space="preserve">es </w:t>
      </w:r>
      <w:r w:rsidRPr="00D9657B">
        <w:rPr>
          <w:rFonts w:ascii="Arial" w:hAnsi="Arial" w:cs="Arial"/>
          <w:sz w:val="22"/>
          <w:szCs w:val="22"/>
        </w:rPr>
        <w:t>expedida por la Agencia Nacional de Contratación Públ</w:t>
      </w:r>
      <w:r>
        <w:rPr>
          <w:rFonts w:ascii="Arial" w:hAnsi="Arial" w:cs="Arial"/>
          <w:sz w:val="22"/>
          <w:szCs w:val="22"/>
        </w:rPr>
        <w:t xml:space="preserve">ica (Colombia Compra Eficiente). </w:t>
      </w:r>
      <w:r w:rsidRPr="00D9657B">
        <w:rPr>
          <w:rFonts w:ascii="Arial" w:hAnsi="Arial" w:cs="Arial"/>
          <w:sz w:val="22"/>
          <w:szCs w:val="22"/>
        </w:rPr>
        <w:t>En ese sentido, la Subdirección del Laboratorio de Salud Pública garantizando la pluralidad,</w:t>
      </w:r>
      <w:r>
        <w:rPr>
          <w:rFonts w:ascii="Arial" w:hAnsi="Arial" w:cs="Arial"/>
          <w:sz w:val="22"/>
          <w:szCs w:val="22"/>
        </w:rPr>
        <w:t xml:space="preserve"> relaciona los datos que se</w:t>
      </w:r>
      <w:r w:rsidRPr="00D9657B">
        <w:rPr>
          <w:rFonts w:ascii="Arial" w:hAnsi="Arial" w:cs="Arial"/>
          <w:sz w:val="22"/>
          <w:szCs w:val="22"/>
        </w:rPr>
        <w:t xml:space="preserve"> identificaron en el mercado:</w:t>
      </w:r>
    </w:p>
    <w:p w:rsidR="00280689" w:rsidP="00280689" w:rsidRDefault="00280689" w14:paraId="1D989315" w14:textId="77777777">
      <w:pPr>
        <w:jc w:val="both"/>
        <w:rPr>
          <w:rFonts w:ascii="Arial" w:hAnsi="Arial" w:cs="Arial"/>
          <w:sz w:val="22"/>
          <w:szCs w:val="22"/>
        </w:rPr>
      </w:pPr>
    </w:p>
    <w:tbl>
      <w:tblPr>
        <w:tblW w:w="8828" w:type="dxa"/>
        <w:tblInd w:w="-10" w:type="dxa"/>
        <w:tblCellMar>
          <w:left w:w="70" w:type="dxa"/>
          <w:right w:w="70" w:type="dxa"/>
        </w:tblCellMar>
        <w:tblLook w:val="06A0" w:firstRow="1" w:lastRow="0" w:firstColumn="1" w:lastColumn="0" w:noHBand="1" w:noVBand="1"/>
      </w:tblPr>
      <w:tblGrid>
        <w:gridCol w:w="3013"/>
        <w:gridCol w:w="2957"/>
        <w:gridCol w:w="2858"/>
      </w:tblGrid>
      <w:tr w:rsidRPr="00D9657B" w:rsidR="00280689" w:rsidTr="00C24E91" w14:paraId="01DF88F6" w14:textId="77777777">
        <w:trPr>
          <w:trHeight w:val="315"/>
        </w:trPr>
        <w:tc>
          <w:tcPr>
            <w:tcW w:w="3013" w:type="dxa"/>
            <w:tcBorders>
              <w:top w:val="single" w:color="auto" w:sz="8" w:space="0"/>
              <w:left w:val="single" w:color="auto" w:sz="8" w:space="0"/>
              <w:bottom w:val="nil"/>
              <w:right w:val="single" w:color="auto" w:sz="8" w:space="0"/>
            </w:tcBorders>
            <w:shd w:val="clear" w:color="000000" w:fill="BFBFBF"/>
            <w:vAlign w:val="center"/>
            <w:hideMark/>
          </w:tcPr>
          <w:p w:rsidRPr="00D9657B" w:rsidR="00280689" w:rsidP="00C24E91" w:rsidRDefault="00280689" w14:paraId="014F4F65" w14:textId="77777777">
            <w:pPr>
              <w:jc w:val="center"/>
              <w:rPr>
                <w:rFonts w:ascii="Calibri" w:hAnsi="Calibri" w:cs="Calibri"/>
                <w:b/>
                <w:bCs/>
                <w:color w:val="000000"/>
                <w:sz w:val="18"/>
                <w:szCs w:val="18"/>
                <w:lang w:val="es-CO" w:eastAsia="es-CO"/>
              </w:rPr>
            </w:pPr>
            <w:r w:rsidRPr="00D9657B">
              <w:rPr>
                <w:rFonts w:ascii="Calibri" w:hAnsi="Calibri" w:cs="Calibri"/>
                <w:b/>
                <w:bCs/>
                <w:color w:val="000000"/>
                <w:sz w:val="18"/>
                <w:szCs w:val="18"/>
                <w:lang w:eastAsia="es-CO"/>
              </w:rPr>
              <w:t>GENERO DEL REPRESENTANTE LEGAL</w:t>
            </w:r>
          </w:p>
        </w:tc>
        <w:tc>
          <w:tcPr>
            <w:tcW w:w="2957" w:type="dxa"/>
            <w:tcBorders>
              <w:top w:val="single" w:color="auto" w:sz="8" w:space="0"/>
              <w:left w:val="nil"/>
              <w:bottom w:val="nil"/>
              <w:right w:val="single" w:color="auto" w:sz="8" w:space="0"/>
            </w:tcBorders>
            <w:shd w:val="clear" w:color="000000" w:fill="BFBFBF"/>
            <w:vAlign w:val="center"/>
            <w:hideMark/>
          </w:tcPr>
          <w:p w:rsidRPr="00D9657B" w:rsidR="00280689" w:rsidP="00C24E91" w:rsidRDefault="00280689" w14:paraId="5AA58319" w14:textId="77777777">
            <w:pPr>
              <w:jc w:val="center"/>
              <w:rPr>
                <w:rFonts w:ascii="Calibri" w:hAnsi="Calibri" w:cs="Calibri"/>
                <w:b/>
                <w:bCs/>
                <w:color w:val="000000"/>
                <w:sz w:val="18"/>
                <w:szCs w:val="18"/>
                <w:lang w:val="es-CO" w:eastAsia="es-CO"/>
              </w:rPr>
            </w:pPr>
            <w:r w:rsidRPr="00D9657B">
              <w:rPr>
                <w:rFonts w:ascii="Calibri" w:hAnsi="Calibri" w:cs="Calibri"/>
                <w:b/>
                <w:bCs/>
                <w:color w:val="000000"/>
                <w:sz w:val="18"/>
                <w:szCs w:val="18"/>
                <w:lang w:eastAsia="es-CO"/>
              </w:rPr>
              <w:t>TOTAL EMPRESAS</w:t>
            </w:r>
          </w:p>
        </w:tc>
        <w:tc>
          <w:tcPr>
            <w:tcW w:w="2858" w:type="dxa"/>
            <w:tcBorders>
              <w:top w:val="single" w:color="auto" w:sz="8" w:space="0"/>
              <w:left w:val="nil"/>
              <w:bottom w:val="nil"/>
              <w:right w:val="single" w:color="auto" w:sz="8" w:space="0"/>
            </w:tcBorders>
            <w:shd w:val="clear" w:color="000000" w:fill="BFBFBF"/>
          </w:tcPr>
          <w:p w:rsidRPr="00D9657B" w:rsidR="00280689" w:rsidP="00C24E91" w:rsidRDefault="00280689" w14:paraId="1AA332C6" w14:textId="77777777">
            <w:pPr>
              <w:jc w:val="center"/>
              <w:rPr>
                <w:rFonts w:ascii="Calibri" w:hAnsi="Calibri" w:cs="Calibri"/>
                <w:b/>
                <w:bCs/>
                <w:color w:val="000000"/>
                <w:sz w:val="18"/>
                <w:szCs w:val="18"/>
                <w:lang w:eastAsia="es-CO"/>
              </w:rPr>
            </w:pPr>
            <w:r w:rsidRPr="003452D5">
              <w:rPr>
                <w:rFonts w:ascii="Calibri" w:hAnsi="Calibri" w:cs="Calibri"/>
                <w:b/>
                <w:bCs/>
                <w:color w:val="000000"/>
                <w:sz w:val="18"/>
                <w:szCs w:val="18"/>
                <w:lang w:eastAsia="es-CO"/>
              </w:rPr>
              <w:t>PORCENTAJE %</w:t>
            </w:r>
          </w:p>
        </w:tc>
      </w:tr>
      <w:tr w:rsidRPr="00D9657B" w:rsidR="00280689" w:rsidTr="00C24E91" w14:paraId="14C9C0B1" w14:textId="77777777">
        <w:trPr>
          <w:trHeight w:val="315"/>
        </w:trPr>
        <w:tc>
          <w:tcPr>
            <w:tcW w:w="3013" w:type="dxa"/>
            <w:tcBorders>
              <w:top w:val="single" w:color="auto" w:sz="8" w:space="0"/>
              <w:left w:val="single" w:color="auto" w:sz="8" w:space="0"/>
              <w:bottom w:val="single" w:color="auto" w:sz="4" w:space="0"/>
              <w:right w:val="single" w:color="auto" w:sz="4" w:space="0"/>
            </w:tcBorders>
            <w:vAlign w:val="center"/>
            <w:hideMark/>
          </w:tcPr>
          <w:p w:rsidRPr="00D9657B" w:rsidR="00280689" w:rsidP="00C24E91" w:rsidRDefault="00280689" w14:paraId="7795ED3A"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Hombre</w:t>
            </w:r>
          </w:p>
        </w:tc>
        <w:tc>
          <w:tcPr>
            <w:tcW w:w="2957" w:type="dxa"/>
            <w:tcBorders>
              <w:top w:val="single" w:color="auto" w:sz="8" w:space="0"/>
              <w:left w:val="nil"/>
              <w:bottom w:val="single" w:color="auto" w:sz="4" w:space="0"/>
              <w:right w:val="single" w:color="auto" w:sz="8" w:space="0"/>
            </w:tcBorders>
            <w:vAlign w:val="center"/>
            <w:hideMark/>
          </w:tcPr>
          <w:p w:rsidRPr="00D9657B" w:rsidR="00280689" w:rsidP="00C24E91" w:rsidRDefault="00280689" w14:paraId="4DBABC30" w14:textId="77777777">
            <w:pPr>
              <w:jc w:val="center"/>
              <w:rPr>
                <w:rFonts w:ascii="Calibri" w:hAnsi="Calibri" w:cs="Calibri"/>
                <w:color w:val="000000"/>
                <w:sz w:val="18"/>
                <w:szCs w:val="18"/>
                <w:lang w:eastAsia="es-CO"/>
              </w:rPr>
            </w:pPr>
            <w:r>
              <w:rPr>
                <w:rFonts w:ascii="Calibri" w:hAnsi="Calibri" w:cs="Calibri"/>
                <w:color w:val="000000"/>
                <w:sz w:val="18"/>
                <w:szCs w:val="18"/>
                <w:lang w:eastAsia="es-CO"/>
              </w:rPr>
              <w:t>8</w:t>
            </w:r>
          </w:p>
        </w:tc>
        <w:tc>
          <w:tcPr>
            <w:tcW w:w="2858" w:type="dxa"/>
            <w:tcBorders>
              <w:top w:val="single" w:color="auto" w:sz="8" w:space="0"/>
              <w:left w:val="nil"/>
              <w:bottom w:val="single" w:color="auto" w:sz="4" w:space="0"/>
              <w:right w:val="single" w:color="auto" w:sz="8" w:space="0"/>
            </w:tcBorders>
          </w:tcPr>
          <w:p w:rsidR="00280689" w:rsidP="00C24E91" w:rsidRDefault="00280689" w14:paraId="0FD2606C" w14:textId="77777777">
            <w:pPr>
              <w:jc w:val="center"/>
              <w:rPr>
                <w:rFonts w:ascii="Calibri" w:hAnsi="Calibri" w:cs="Calibri"/>
                <w:color w:val="000000"/>
                <w:sz w:val="18"/>
                <w:szCs w:val="18"/>
                <w:lang w:eastAsia="es-CO"/>
              </w:rPr>
            </w:pPr>
            <w:r>
              <w:rPr>
                <w:rFonts w:ascii="Calibri" w:hAnsi="Calibri" w:cs="Calibri"/>
                <w:color w:val="000000"/>
                <w:sz w:val="18"/>
                <w:szCs w:val="18"/>
                <w:lang w:eastAsia="es-CO"/>
              </w:rPr>
              <w:t>80,00%</w:t>
            </w:r>
          </w:p>
        </w:tc>
      </w:tr>
      <w:tr w:rsidRPr="00D9657B" w:rsidR="00280689" w:rsidTr="00C24E91" w14:paraId="552CC852" w14:textId="77777777">
        <w:trPr>
          <w:trHeight w:val="315"/>
        </w:trPr>
        <w:tc>
          <w:tcPr>
            <w:tcW w:w="3013" w:type="dxa"/>
            <w:tcBorders>
              <w:top w:val="nil"/>
              <w:left w:val="single" w:color="auto" w:sz="8" w:space="0"/>
              <w:bottom w:val="single" w:color="auto" w:sz="4" w:space="0"/>
              <w:right w:val="single" w:color="auto" w:sz="4" w:space="0"/>
            </w:tcBorders>
            <w:vAlign w:val="center"/>
            <w:hideMark/>
          </w:tcPr>
          <w:p w:rsidRPr="00D9657B" w:rsidR="00280689" w:rsidP="00C24E91" w:rsidRDefault="00280689" w14:paraId="1AF1F549"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Mujer</w:t>
            </w:r>
          </w:p>
        </w:tc>
        <w:tc>
          <w:tcPr>
            <w:tcW w:w="2957" w:type="dxa"/>
            <w:tcBorders>
              <w:top w:val="nil"/>
              <w:left w:val="nil"/>
              <w:bottom w:val="single" w:color="auto" w:sz="4" w:space="0"/>
              <w:right w:val="single" w:color="auto" w:sz="8" w:space="0"/>
            </w:tcBorders>
            <w:vAlign w:val="center"/>
            <w:hideMark/>
          </w:tcPr>
          <w:p w:rsidRPr="00D9657B" w:rsidR="00280689" w:rsidP="00C24E91" w:rsidRDefault="00280689" w14:paraId="4F5BA0B9"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1</w:t>
            </w:r>
          </w:p>
        </w:tc>
        <w:tc>
          <w:tcPr>
            <w:tcW w:w="2858" w:type="dxa"/>
            <w:tcBorders>
              <w:top w:val="nil"/>
              <w:left w:val="nil"/>
              <w:bottom w:val="single" w:color="auto" w:sz="4" w:space="0"/>
              <w:right w:val="single" w:color="auto" w:sz="8" w:space="0"/>
            </w:tcBorders>
          </w:tcPr>
          <w:p w:rsidRPr="00D9657B" w:rsidR="00280689" w:rsidP="00C24E91" w:rsidRDefault="00280689" w14:paraId="0931C3AF" w14:textId="77777777">
            <w:pPr>
              <w:jc w:val="center"/>
              <w:rPr>
                <w:rFonts w:ascii="Calibri" w:hAnsi="Calibri" w:cs="Calibri"/>
                <w:color w:val="000000"/>
                <w:sz w:val="18"/>
                <w:szCs w:val="18"/>
                <w:lang w:eastAsia="es-CO"/>
              </w:rPr>
            </w:pPr>
            <w:r>
              <w:rPr>
                <w:rFonts w:ascii="Calibri" w:hAnsi="Calibri" w:cs="Calibri"/>
                <w:color w:val="000000"/>
                <w:sz w:val="18"/>
                <w:szCs w:val="18"/>
                <w:lang w:eastAsia="es-CO"/>
              </w:rPr>
              <w:t>10,00%</w:t>
            </w:r>
          </w:p>
        </w:tc>
      </w:tr>
      <w:tr w:rsidRPr="00D9657B" w:rsidR="00280689" w:rsidTr="00C24E91" w14:paraId="66B18C58" w14:textId="77777777">
        <w:trPr>
          <w:trHeight w:val="315"/>
        </w:trPr>
        <w:tc>
          <w:tcPr>
            <w:tcW w:w="3013" w:type="dxa"/>
            <w:tcBorders>
              <w:top w:val="nil"/>
              <w:left w:val="single" w:color="auto" w:sz="8" w:space="0"/>
              <w:bottom w:val="single" w:color="auto" w:sz="8" w:space="0"/>
              <w:right w:val="single" w:color="auto" w:sz="4" w:space="0"/>
            </w:tcBorders>
            <w:vAlign w:val="center"/>
            <w:hideMark/>
          </w:tcPr>
          <w:p w:rsidRPr="00D9657B" w:rsidR="00280689" w:rsidP="00C24E91" w:rsidRDefault="00280689" w14:paraId="320DD106"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No definido</w:t>
            </w:r>
          </w:p>
        </w:tc>
        <w:tc>
          <w:tcPr>
            <w:tcW w:w="2957" w:type="dxa"/>
            <w:tcBorders>
              <w:top w:val="nil"/>
              <w:left w:val="nil"/>
              <w:bottom w:val="single" w:color="auto" w:sz="8" w:space="0"/>
              <w:right w:val="single" w:color="auto" w:sz="8" w:space="0"/>
            </w:tcBorders>
            <w:vAlign w:val="center"/>
            <w:hideMark/>
          </w:tcPr>
          <w:p w:rsidRPr="00D9657B" w:rsidR="00280689" w:rsidP="00C24E91" w:rsidRDefault="00280689" w14:paraId="5718A7D9" w14:textId="77777777">
            <w:pPr>
              <w:jc w:val="center"/>
              <w:rPr>
                <w:rFonts w:ascii="Calibri" w:hAnsi="Calibri" w:cs="Calibri"/>
                <w:color w:val="000000"/>
                <w:sz w:val="18"/>
                <w:szCs w:val="18"/>
                <w:lang w:val="es-CO" w:eastAsia="es-CO"/>
              </w:rPr>
            </w:pPr>
            <w:r w:rsidRPr="00D9657B">
              <w:rPr>
                <w:rFonts w:ascii="Calibri" w:hAnsi="Calibri" w:cs="Calibri"/>
                <w:color w:val="000000"/>
                <w:sz w:val="18"/>
                <w:szCs w:val="18"/>
                <w:lang w:eastAsia="es-CO"/>
              </w:rPr>
              <w:t>1</w:t>
            </w:r>
          </w:p>
        </w:tc>
        <w:tc>
          <w:tcPr>
            <w:tcW w:w="2858" w:type="dxa"/>
            <w:tcBorders>
              <w:top w:val="nil"/>
              <w:left w:val="nil"/>
              <w:bottom w:val="single" w:color="auto" w:sz="8" w:space="0"/>
              <w:right w:val="single" w:color="auto" w:sz="8" w:space="0"/>
            </w:tcBorders>
          </w:tcPr>
          <w:p w:rsidRPr="00D9657B" w:rsidR="00280689" w:rsidP="00C24E91" w:rsidRDefault="00280689" w14:paraId="67EC1369" w14:textId="77777777">
            <w:pPr>
              <w:jc w:val="center"/>
              <w:rPr>
                <w:rFonts w:ascii="Calibri" w:hAnsi="Calibri" w:cs="Calibri"/>
                <w:color w:val="000000"/>
                <w:sz w:val="18"/>
                <w:szCs w:val="18"/>
                <w:lang w:eastAsia="es-CO"/>
              </w:rPr>
            </w:pPr>
            <w:r>
              <w:rPr>
                <w:rFonts w:ascii="Calibri" w:hAnsi="Calibri" w:cs="Calibri"/>
                <w:color w:val="000000"/>
                <w:sz w:val="18"/>
                <w:szCs w:val="18"/>
                <w:lang w:eastAsia="es-CO"/>
              </w:rPr>
              <w:t>10,00%</w:t>
            </w:r>
          </w:p>
        </w:tc>
      </w:tr>
    </w:tbl>
    <w:p w:rsidRPr="007E4C89" w:rsidR="00280689" w:rsidP="00280689" w:rsidRDefault="00280689" w14:paraId="4461E6B5" w14:textId="77777777">
      <w:pPr>
        <w:spacing w:line="276" w:lineRule="auto"/>
        <w:ind w:right="113"/>
        <w:jc w:val="both"/>
        <w:rPr>
          <w:rFonts w:ascii="Arial" w:hAnsi="Arial" w:eastAsia="Arial" w:cs="Arial"/>
          <w:sz w:val="12"/>
          <w:szCs w:val="12"/>
        </w:rPr>
      </w:pPr>
      <w:r w:rsidRPr="3EFD81A2">
        <w:rPr>
          <w:rFonts w:ascii="Arial" w:hAnsi="Arial" w:eastAsia="Arial" w:cs="Arial"/>
          <w:sz w:val="12"/>
          <w:szCs w:val="12"/>
        </w:rPr>
        <w:t xml:space="preserve">Fuente: </w:t>
      </w:r>
      <w:r>
        <w:fldChar w:fldCharType="begin"/>
      </w:r>
      <w:r>
        <w:fldChar w:fldCharType="separate"/>
      </w:r>
      <w:r w:rsidRPr="3EFD81A2">
        <w:rPr>
          <w:rStyle w:val="Hipervnculo"/>
          <w:rFonts w:ascii="Arial" w:hAnsi="Arial" w:eastAsia="Arial" w:cs="Arial"/>
          <w:sz w:val="12"/>
          <w:szCs w:val="12"/>
        </w:rPr>
        <w:t>https://www.datos.gov.co/Estad-sticas-Nacionales/SECOP-II-Contratos-Electr-nicos/jbjy-vk9h/data_preview</w:t>
      </w:r>
      <w:r>
        <w:fldChar w:fldCharType="end"/>
      </w:r>
      <w:r w:rsidRPr="3EFD81A2">
        <w:rPr>
          <w:rFonts w:ascii="Arial" w:hAnsi="Arial" w:eastAsia="Arial" w:cs="Arial"/>
          <w:sz w:val="12"/>
          <w:szCs w:val="12"/>
        </w:rPr>
        <w:t xml:space="preserve"> Fecha de Consulta: </w:t>
      </w:r>
      <w:r>
        <w:rPr>
          <w:rFonts w:ascii="Arial" w:hAnsi="Arial" w:eastAsia="Arial" w:cs="Arial"/>
          <w:sz w:val="12"/>
          <w:szCs w:val="12"/>
        </w:rPr>
        <w:t>05</w:t>
      </w:r>
      <w:r w:rsidRPr="3EFD81A2">
        <w:rPr>
          <w:rFonts w:ascii="Arial" w:hAnsi="Arial" w:eastAsia="Arial" w:cs="Arial"/>
          <w:sz w:val="12"/>
          <w:szCs w:val="12"/>
        </w:rPr>
        <w:t xml:space="preserve"> de </w:t>
      </w:r>
      <w:r>
        <w:rPr>
          <w:rFonts w:ascii="Arial" w:hAnsi="Arial" w:eastAsia="Arial" w:cs="Arial"/>
          <w:sz w:val="12"/>
          <w:szCs w:val="12"/>
        </w:rPr>
        <w:t>junio</w:t>
      </w:r>
      <w:r w:rsidRPr="3EFD81A2">
        <w:rPr>
          <w:rFonts w:ascii="Arial" w:hAnsi="Arial" w:eastAsia="Arial" w:cs="Arial"/>
          <w:sz w:val="12"/>
          <w:szCs w:val="12"/>
        </w:rPr>
        <w:t xml:space="preserve"> de 2026.</w:t>
      </w:r>
    </w:p>
    <w:p w:rsidRPr="007E4C89" w:rsidR="00280689" w:rsidP="00280689" w:rsidRDefault="00280689" w14:paraId="7ADC8651" w14:textId="77777777">
      <w:pPr>
        <w:spacing w:line="276" w:lineRule="auto"/>
        <w:ind w:right="113"/>
        <w:jc w:val="both"/>
        <w:rPr>
          <w:rFonts w:ascii="Arial" w:hAnsi="Arial" w:cs="Arial"/>
          <w:sz w:val="22"/>
          <w:szCs w:val="22"/>
        </w:rPr>
      </w:pPr>
      <w:r w:rsidRPr="3EFD81A2">
        <w:rPr>
          <w:rFonts w:ascii="Arial" w:hAnsi="Arial" w:eastAsia="Arial" w:cs="Arial"/>
          <w:sz w:val="12"/>
          <w:szCs w:val="12"/>
        </w:rPr>
        <w:t xml:space="preserve">Nota: Se anexa consolidado de Excel de los datos exportados según consulta realizada en la plataforma Datos Abiertos </w:t>
      </w:r>
      <w:proofErr w:type="spellStart"/>
      <w:r w:rsidRPr="3EFD81A2">
        <w:rPr>
          <w:rFonts w:ascii="Arial" w:hAnsi="Arial" w:eastAsia="Arial" w:cs="Arial"/>
          <w:sz w:val="12"/>
          <w:szCs w:val="12"/>
        </w:rPr>
        <w:t>Secop</w:t>
      </w:r>
      <w:proofErr w:type="spellEnd"/>
      <w:r w:rsidRPr="3EFD81A2">
        <w:rPr>
          <w:rFonts w:ascii="Arial" w:hAnsi="Arial" w:eastAsia="Arial" w:cs="Arial"/>
          <w:sz w:val="12"/>
          <w:szCs w:val="12"/>
        </w:rPr>
        <w:t xml:space="preserve"> II. </w:t>
      </w:r>
    </w:p>
    <w:p w:rsidRPr="003D0ADA" w:rsidR="00280689" w:rsidP="00D86FE0" w:rsidRDefault="00280689" w14:paraId="79606C50" w14:textId="77777777">
      <w:pPr>
        <w:pStyle w:val="Textoindependiente"/>
        <w:tabs>
          <w:tab w:val="left" w:pos="284"/>
        </w:tabs>
        <w:rPr>
          <w:rFonts w:ascii="Arial" w:hAnsi="Arial" w:cs="Arial"/>
          <w:bCs/>
          <w:sz w:val="21"/>
          <w:szCs w:val="21"/>
          <w:lang w:val="es-CO"/>
        </w:rPr>
      </w:pPr>
    </w:p>
    <w:p w:rsidR="00D40589" w:rsidP="00D86FE0" w:rsidRDefault="00D40589" w14:paraId="764F3739" w14:textId="77777777">
      <w:pPr>
        <w:pStyle w:val="Textoindependiente"/>
        <w:tabs>
          <w:tab w:val="left" w:pos="284"/>
        </w:tabs>
        <w:rPr>
          <w:rFonts w:ascii="Arial" w:hAnsi="Arial" w:cs="Arial"/>
          <w:bCs/>
          <w:sz w:val="21"/>
          <w:szCs w:val="21"/>
          <w:lang w:val="es-CO"/>
        </w:rPr>
      </w:pPr>
    </w:p>
    <w:p w:rsidRPr="003D0ADA" w:rsidR="00280689" w:rsidP="00D86FE0" w:rsidRDefault="00280689" w14:paraId="6DFF7177" w14:textId="77777777">
      <w:pPr>
        <w:pStyle w:val="Textoindependiente"/>
        <w:tabs>
          <w:tab w:val="left" w:pos="284"/>
        </w:tabs>
        <w:rPr>
          <w:rFonts w:ascii="Arial" w:hAnsi="Arial" w:cs="Arial"/>
          <w:bCs/>
          <w:sz w:val="21"/>
          <w:szCs w:val="21"/>
          <w:lang w:val="es-CO"/>
        </w:rPr>
      </w:pPr>
    </w:p>
    <w:p w:rsidRPr="003D0ADA" w:rsidR="00D40589" w:rsidP="00D86FE0" w:rsidRDefault="00D40589" w14:paraId="3B22688D" w14:textId="27ED9EB2">
      <w:pPr>
        <w:pStyle w:val="Textoindependiente"/>
        <w:numPr>
          <w:ilvl w:val="0"/>
          <w:numId w:val="27"/>
        </w:numPr>
        <w:tabs>
          <w:tab w:val="left" w:pos="284"/>
        </w:tabs>
        <w:rPr>
          <w:rFonts w:ascii="Arial" w:hAnsi="Arial" w:cs="Arial"/>
          <w:b/>
          <w:sz w:val="21"/>
          <w:szCs w:val="21"/>
          <w:lang w:val="es-CO"/>
        </w:rPr>
      </w:pPr>
      <w:r w:rsidRPr="003D0ADA">
        <w:rPr>
          <w:rFonts w:ascii="Arial" w:hAnsi="Arial" w:cs="Arial"/>
          <w:b/>
          <w:sz w:val="21"/>
          <w:szCs w:val="21"/>
          <w:lang w:val="es-CO"/>
        </w:rPr>
        <w:t xml:space="preserve">Importancia del Sector contexto Local y Nacional </w:t>
      </w:r>
    </w:p>
    <w:p w:rsidRPr="003D0ADA" w:rsidR="00D40589" w:rsidP="00D86FE0" w:rsidRDefault="00D40589" w14:paraId="5F5B16FE" w14:textId="448E0A21">
      <w:pPr>
        <w:pStyle w:val="Textoindependiente"/>
        <w:tabs>
          <w:tab w:val="left" w:pos="284"/>
        </w:tabs>
        <w:rPr>
          <w:rFonts w:ascii="Arial" w:hAnsi="Arial" w:cs="Arial"/>
          <w:bCs/>
          <w:sz w:val="21"/>
          <w:szCs w:val="21"/>
          <w:lang w:val="es-CO"/>
        </w:rPr>
      </w:pPr>
    </w:p>
    <w:p w:rsidR="001D0535" w:rsidP="000B49EC" w:rsidRDefault="00231581" w14:paraId="35F5C975" w14:textId="6366FC66">
      <w:pPr>
        <w:pStyle w:val="Textoindependiente"/>
        <w:tabs>
          <w:tab w:val="left" w:pos="284"/>
        </w:tabs>
        <w:rPr>
          <w:rFonts w:ascii="Arial" w:hAnsi="Arial" w:cs="Arial"/>
          <w:bCs/>
          <w:sz w:val="21"/>
          <w:szCs w:val="21"/>
          <w:lang w:val="es-CO"/>
        </w:rPr>
      </w:pPr>
      <w:r w:rsidRPr="003D0ADA">
        <w:rPr>
          <w:rFonts w:ascii="Arial" w:hAnsi="Arial" w:cs="Arial"/>
          <w:bCs/>
          <w:sz w:val="21"/>
          <w:szCs w:val="21"/>
          <w:lang w:val="es-CO"/>
        </w:rPr>
        <w:t>Teniendo en cuenta lo que establece la Clasificación Industrial Internacional Uniforme de todas las actividades económicas, Revisión 4 Adaptada para Colombia CIIU REV. 4 A.C. (202</w:t>
      </w:r>
      <w:r w:rsidRPr="003D0ADA" w:rsidR="001D12AA">
        <w:rPr>
          <w:rFonts w:ascii="Arial" w:hAnsi="Arial" w:cs="Arial"/>
          <w:bCs/>
          <w:sz w:val="22"/>
          <w:szCs w:val="22"/>
        </w:rPr>
        <w:t>)</w:t>
      </w:r>
      <w:r w:rsidRPr="003D0ADA" w:rsidR="001D12AA">
        <w:rPr>
          <w:rFonts w:ascii="Arial" w:hAnsi="Arial" w:cs="Arial"/>
          <w:bCs/>
          <w:sz w:val="22"/>
          <w:szCs w:val="22"/>
          <w:vertAlign w:val="superscript"/>
        </w:rPr>
        <w:footnoteReference w:id="1"/>
      </w:r>
      <w:r w:rsidRPr="003D0ADA" w:rsidR="001D12AA">
        <w:rPr>
          <w:rFonts w:ascii="Arial" w:hAnsi="Arial" w:cs="Arial"/>
          <w:bCs/>
          <w:sz w:val="22"/>
          <w:szCs w:val="22"/>
        </w:rPr>
        <w:t>,</w:t>
      </w:r>
      <w:r w:rsidRPr="003D0ADA">
        <w:rPr>
          <w:rFonts w:ascii="Arial" w:hAnsi="Arial" w:cs="Arial"/>
          <w:bCs/>
          <w:sz w:val="21"/>
          <w:szCs w:val="21"/>
          <w:lang w:val="es-CO"/>
        </w:rPr>
        <w:t>. Las empresas que pueden ofrecer los bienes del presente estudio se pueden clasificar en los siguientes códigos CIIU y actividades económicas, así:</w:t>
      </w:r>
    </w:p>
    <w:p w:rsidRPr="003D0ADA" w:rsidR="00D40589" w:rsidP="00D86FE0" w:rsidRDefault="00D40589" w14:paraId="3D787928" w14:textId="77777777">
      <w:pPr>
        <w:pStyle w:val="Textoindependiente"/>
        <w:tabs>
          <w:tab w:val="left" w:pos="284"/>
        </w:tabs>
        <w:rPr>
          <w:rFonts w:ascii="Arial" w:hAnsi="Arial" w:cs="Arial"/>
          <w:bCs/>
          <w:sz w:val="21"/>
          <w:szCs w:val="21"/>
          <w:lang w:val="es-CO"/>
        </w:rPr>
      </w:pPr>
    </w:p>
    <w:p w:rsidRPr="003D0ADA" w:rsidR="00231581" w:rsidP="00D86FE0" w:rsidRDefault="00231581" w14:paraId="023C1CAB" w14:textId="57247016">
      <w:pPr>
        <w:pStyle w:val="Textoindependiente"/>
        <w:tabs>
          <w:tab w:val="left" w:pos="284"/>
        </w:tabs>
        <w:rPr>
          <w:rFonts w:ascii="Arial" w:hAnsi="Arial" w:cs="Arial"/>
          <w:bCs/>
          <w:sz w:val="21"/>
          <w:szCs w:val="21"/>
          <w:lang w:val="es-CO"/>
        </w:rPr>
      </w:pPr>
    </w:p>
    <w:tbl>
      <w:tblPr>
        <w:tblStyle w:val="Tablaconcuadrcula"/>
        <w:tblW w:w="0" w:type="auto"/>
        <w:tblLook w:val="04A0" w:firstRow="1" w:lastRow="0" w:firstColumn="1" w:lastColumn="0" w:noHBand="0" w:noVBand="1"/>
      </w:tblPr>
      <w:tblGrid>
        <w:gridCol w:w="1539"/>
        <w:gridCol w:w="1538"/>
        <w:gridCol w:w="1399"/>
        <w:gridCol w:w="4586"/>
      </w:tblGrid>
      <w:tr w:rsidRPr="0052670A" w:rsidR="00885169" w:rsidTr="5CB1E3AC" w14:paraId="02689C8C" w14:textId="77777777">
        <w:tc>
          <w:tcPr>
            <w:tcW w:w="9204" w:type="dxa"/>
            <w:gridSpan w:val="4"/>
            <w:tcMar/>
          </w:tcPr>
          <w:p w:rsidRPr="0052670A" w:rsidR="00231581" w:rsidP="5CB1E3AC" w:rsidRDefault="00231581" w14:paraId="01FDD888" w14:textId="371C94A5">
            <w:pPr>
              <w:pStyle w:val="Textoindependiente"/>
              <w:tabs>
                <w:tab w:val="left" w:pos="284"/>
              </w:tabs>
              <w:jc w:val="center"/>
              <w:rPr>
                <w:rFonts w:ascii="Arial" w:hAnsi="Arial" w:cs="Arial"/>
                <w:b w:val="1"/>
                <w:bCs w:val="1"/>
                <w:sz w:val="20"/>
                <w:szCs w:val="20"/>
                <w:lang w:val="es-CO"/>
              </w:rPr>
            </w:pPr>
            <w:commentRangeStart w:id="1601334718"/>
            <w:r w:rsidRPr="5CB1E3AC" w:rsidR="00231581">
              <w:rPr>
                <w:rFonts w:ascii="Arial" w:hAnsi="Arial" w:cs="Arial"/>
                <w:b w:val="1"/>
                <w:bCs w:val="1"/>
                <w:sz w:val="20"/>
                <w:szCs w:val="20"/>
                <w:lang w:val="es-CO"/>
              </w:rPr>
              <w:t>CLASIFICACIÓN CIIU Rev4. A.C.</w:t>
            </w:r>
          </w:p>
        </w:tc>
      </w:tr>
      <w:tr w:rsidRPr="0052670A" w:rsidR="00885169" w:rsidTr="5CB1E3AC" w14:paraId="5C0AB3EE" w14:textId="77777777">
        <w:tc>
          <w:tcPr>
            <w:tcW w:w="9204" w:type="dxa"/>
            <w:gridSpan w:val="4"/>
            <w:tcMar/>
          </w:tcPr>
          <w:p w:rsidRPr="0052670A" w:rsidR="00C83E13" w:rsidP="00D86FE0" w:rsidRDefault="00C83E13" w14:paraId="49FBCD95" w14:textId="2ED1397E">
            <w:pPr>
              <w:pStyle w:val="Textoindependiente"/>
              <w:tabs>
                <w:tab w:val="left" w:pos="284"/>
              </w:tabs>
              <w:jc w:val="center"/>
              <w:rPr>
                <w:rFonts w:ascii="Arial" w:hAnsi="Arial" w:cs="Arial"/>
                <w:b/>
                <w:sz w:val="20"/>
                <w:szCs w:val="21"/>
                <w:lang w:val="es-CO"/>
              </w:rPr>
            </w:pPr>
            <w:r w:rsidRPr="0052670A">
              <w:rPr>
                <w:rFonts w:ascii="Arial" w:hAnsi="Arial" w:cs="Arial"/>
                <w:b/>
                <w:sz w:val="20"/>
                <w:szCs w:val="21"/>
                <w:lang w:val="es-CO"/>
              </w:rPr>
              <w:t>Sección C Industrias Manufactureras</w:t>
            </w:r>
          </w:p>
        </w:tc>
      </w:tr>
      <w:tr w:rsidRPr="0052670A" w:rsidR="00885169" w:rsidTr="5CB1E3AC" w14:paraId="2E7B5916" w14:textId="77777777">
        <w:tc>
          <w:tcPr>
            <w:tcW w:w="1555" w:type="dxa"/>
            <w:tcMar/>
          </w:tcPr>
          <w:p w:rsidRPr="0052670A" w:rsidR="00231581" w:rsidP="00D86FE0" w:rsidRDefault="00231581" w14:paraId="024A50C0" w14:textId="4FFC07C7">
            <w:pPr>
              <w:pStyle w:val="Textoindependiente"/>
              <w:tabs>
                <w:tab w:val="left" w:pos="284"/>
              </w:tabs>
              <w:jc w:val="center"/>
              <w:rPr>
                <w:rFonts w:ascii="Arial" w:hAnsi="Arial" w:cs="Arial"/>
                <w:b/>
                <w:sz w:val="20"/>
                <w:szCs w:val="21"/>
                <w:lang w:val="es-CO"/>
              </w:rPr>
            </w:pPr>
            <w:r w:rsidRPr="0052670A">
              <w:rPr>
                <w:rFonts w:ascii="Arial" w:hAnsi="Arial" w:cs="Arial"/>
                <w:b/>
                <w:sz w:val="20"/>
                <w:szCs w:val="21"/>
                <w:lang w:val="es-CO"/>
              </w:rPr>
              <w:t>División</w:t>
            </w:r>
          </w:p>
        </w:tc>
        <w:tc>
          <w:tcPr>
            <w:tcW w:w="1559" w:type="dxa"/>
            <w:tcMar/>
          </w:tcPr>
          <w:p w:rsidRPr="0052670A" w:rsidR="00231581" w:rsidP="00D86FE0" w:rsidRDefault="00231581" w14:paraId="78088E77" w14:textId="6F503DA9">
            <w:pPr>
              <w:pStyle w:val="Textoindependiente"/>
              <w:tabs>
                <w:tab w:val="left" w:pos="284"/>
              </w:tabs>
              <w:jc w:val="center"/>
              <w:rPr>
                <w:rFonts w:ascii="Arial" w:hAnsi="Arial" w:cs="Arial"/>
                <w:b/>
                <w:sz w:val="20"/>
                <w:szCs w:val="21"/>
                <w:lang w:val="es-CO"/>
              </w:rPr>
            </w:pPr>
            <w:r w:rsidRPr="0052670A">
              <w:rPr>
                <w:rFonts w:ascii="Arial" w:hAnsi="Arial" w:cs="Arial"/>
                <w:b/>
                <w:sz w:val="20"/>
                <w:szCs w:val="21"/>
                <w:lang w:val="es-CO"/>
              </w:rPr>
              <w:t>Grupo</w:t>
            </w:r>
          </w:p>
        </w:tc>
        <w:tc>
          <w:tcPr>
            <w:tcW w:w="1417" w:type="dxa"/>
            <w:tcMar/>
          </w:tcPr>
          <w:p w:rsidRPr="0052670A" w:rsidR="00231581" w:rsidP="00D86FE0" w:rsidRDefault="00231581" w14:paraId="7B4E50B2" w14:textId="0FED3E75">
            <w:pPr>
              <w:pStyle w:val="Textoindependiente"/>
              <w:tabs>
                <w:tab w:val="left" w:pos="284"/>
              </w:tabs>
              <w:jc w:val="center"/>
              <w:rPr>
                <w:rFonts w:ascii="Arial" w:hAnsi="Arial" w:cs="Arial"/>
                <w:b/>
                <w:sz w:val="20"/>
                <w:szCs w:val="21"/>
                <w:lang w:val="es-CO"/>
              </w:rPr>
            </w:pPr>
            <w:r w:rsidRPr="0052670A">
              <w:rPr>
                <w:rFonts w:ascii="Arial" w:hAnsi="Arial" w:cs="Arial"/>
                <w:b/>
                <w:sz w:val="20"/>
                <w:szCs w:val="21"/>
                <w:lang w:val="es-CO"/>
              </w:rPr>
              <w:t>Clase</w:t>
            </w:r>
          </w:p>
        </w:tc>
        <w:tc>
          <w:tcPr>
            <w:tcW w:w="4673" w:type="dxa"/>
            <w:tcMar/>
          </w:tcPr>
          <w:p w:rsidRPr="0052670A" w:rsidR="00231581" w:rsidP="00D86FE0" w:rsidRDefault="00231581" w14:paraId="067AC244" w14:textId="181984F8">
            <w:pPr>
              <w:pStyle w:val="Textoindependiente"/>
              <w:tabs>
                <w:tab w:val="left" w:pos="284"/>
              </w:tabs>
              <w:jc w:val="center"/>
              <w:rPr>
                <w:rFonts w:ascii="Arial" w:hAnsi="Arial" w:cs="Arial"/>
                <w:b/>
                <w:sz w:val="20"/>
                <w:szCs w:val="21"/>
                <w:lang w:val="es-CO"/>
              </w:rPr>
            </w:pPr>
            <w:r w:rsidRPr="0052670A">
              <w:rPr>
                <w:rFonts w:ascii="Arial" w:hAnsi="Arial" w:cs="Arial"/>
                <w:b/>
                <w:sz w:val="20"/>
                <w:szCs w:val="21"/>
                <w:lang w:val="es-CO"/>
              </w:rPr>
              <w:t>Descripción</w:t>
            </w:r>
          </w:p>
        </w:tc>
      </w:tr>
      <w:tr w:rsidRPr="0052670A" w:rsidR="00885169" w:rsidTr="5CB1E3AC" w14:paraId="74D627F3" w14:textId="77777777">
        <w:tc>
          <w:tcPr>
            <w:tcW w:w="1555" w:type="dxa"/>
            <w:tcMar/>
            <w:vAlign w:val="center"/>
          </w:tcPr>
          <w:p w:rsidRPr="0052670A" w:rsidR="00231581" w:rsidP="00D86FE0" w:rsidRDefault="00231581" w14:paraId="4D15652D" w14:textId="1C71EA3F">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20</w:t>
            </w:r>
          </w:p>
        </w:tc>
        <w:tc>
          <w:tcPr>
            <w:tcW w:w="1559" w:type="dxa"/>
            <w:tcMar/>
            <w:vAlign w:val="center"/>
          </w:tcPr>
          <w:p w:rsidRPr="0052670A" w:rsidR="00231581" w:rsidP="00D86FE0" w:rsidRDefault="00231581" w14:paraId="48D7546D" w14:textId="77777777">
            <w:pPr>
              <w:pStyle w:val="Textoindependiente"/>
              <w:tabs>
                <w:tab w:val="left" w:pos="284"/>
              </w:tabs>
              <w:jc w:val="center"/>
              <w:rPr>
                <w:rFonts w:ascii="Arial" w:hAnsi="Arial" w:cs="Arial"/>
                <w:bCs/>
                <w:sz w:val="20"/>
                <w:szCs w:val="21"/>
                <w:lang w:val="es-CO"/>
              </w:rPr>
            </w:pPr>
          </w:p>
        </w:tc>
        <w:tc>
          <w:tcPr>
            <w:tcW w:w="1417" w:type="dxa"/>
            <w:tcMar/>
            <w:vAlign w:val="center"/>
          </w:tcPr>
          <w:p w:rsidRPr="0052670A" w:rsidR="00231581" w:rsidP="00D86FE0" w:rsidRDefault="00231581" w14:paraId="07CEB4B7" w14:textId="77777777">
            <w:pPr>
              <w:pStyle w:val="Textoindependiente"/>
              <w:tabs>
                <w:tab w:val="left" w:pos="284"/>
              </w:tabs>
              <w:jc w:val="center"/>
              <w:rPr>
                <w:rFonts w:ascii="Arial" w:hAnsi="Arial" w:cs="Arial"/>
                <w:bCs/>
                <w:sz w:val="20"/>
                <w:szCs w:val="21"/>
                <w:lang w:val="es-CO"/>
              </w:rPr>
            </w:pPr>
          </w:p>
        </w:tc>
        <w:tc>
          <w:tcPr>
            <w:tcW w:w="4673" w:type="dxa"/>
            <w:tcMar/>
          </w:tcPr>
          <w:p w:rsidRPr="0052670A" w:rsidR="00231581" w:rsidP="00D86FE0" w:rsidRDefault="00231581" w14:paraId="1FF77F2A" w14:textId="09B9A6DB">
            <w:pPr>
              <w:pStyle w:val="Textoindependiente"/>
              <w:tabs>
                <w:tab w:val="left" w:pos="284"/>
              </w:tabs>
              <w:rPr>
                <w:rFonts w:ascii="Arial" w:hAnsi="Arial" w:cs="Arial"/>
                <w:bCs/>
                <w:sz w:val="20"/>
                <w:szCs w:val="21"/>
                <w:lang w:val="es-CO"/>
              </w:rPr>
            </w:pPr>
            <w:r w:rsidRPr="0052670A">
              <w:rPr>
                <w:rFonts w:ascii="Arial" w:hAnsi="Arial" w:cs="Arial"/>
                <w:bCs/>
                <w:sz w:val="20"/>
                <w:szCs w:val="21"/>
                <w:lang w:val="es-CO"/>
              </w:rPr>
              <w:t>Fabricación de sustancias y productos químicos</w:t>
            </w:r>
          </w:p>
        </w:tc>
      </w:tr>
      <w:tr w:rsidRPr="0052670A" w:rsidR="00885169" w:rsidTr="5CB1E3AC" w14:paraId="6E9B417D" w14:textId="77777777">
        <w:tc>
          <w:tcPr>
            <w:tcW w:w="1555" w:type="dxa"/>
            <w:tcMar/>
            <w:vAlign w:val="center"/>
          </w:tcPr>
          <w:p w:rsidRPr="0052670A" w:rsidR="00231581" w:rsidP="00D86FE0" w:rsidRDefault="00231581" w14:paraId="56C7903C" w14:textId="77777777">
            <w:pPr>
              <w:pStyle w:val="Textoindependiente"/>
              <w:tabs>
                <w:tab w:val="left" w:pos="284"/>
              </w:tabs>
              <w:jc w:val="center"/>
              <w:rPr>
                <w:rFonts w:ascii="Arial" w:hAnsi="Arial" w:cs="Arial"/>
                <w:bCs/>
                <w:sz w:val="20"/>
                <w:szCs w:val="21"/>
                <w:lang w:val="es-CO"/>
              </w:rPr>
            </w:pPr>
          </w:p>
        </w:tc>
        <w:tc>
          <w:tcPr>
            <w:tcW w:w="1559" w:type="dxa"/>
            <w:tcMar/>
            <w:vAlign w:val="center"/>
          </w:tcPr>
          <w:p w:rsidRPr="0052670A" w:rsidR="00231581" w:rsidP="00D86FE0" w:rsidRDefault="00231581" w14:paraId="40F52A7C" w14:textId="594A60B4">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201</w:t>
            </w:r>
          </w:p>
        </w:tc>
        <w:tc>
          <w:tcPr>
            <w:tcW w:w="1417" w:type="dxa"/>
            <w:tcMar/>
            <w:vAlign w:val="center"/>
          </w:tcPr>
          <w:p w:rsidRPr="0052670A" w:rsidR="00231581" w:rsidP="00D86FE0" w:rsidRDefault="00231581" w14:paraId="186BA4FA" w14:textId="77777777">
            <w:pPr>
              <w:pStyle w:val="Textoindependiente"/>
              <w:tabs>
                <w:tab w:val="left" w:pos="284"/>
              </w:tabs>
              <w:jc w:val="center"/>
              <w:rPr>
                <w:rFonts w:ascii="Arial" w:hAnsi="Arial" w:cs="Arial"/>
                <w:bCs/>
                <w:sz w:val="20"/>
                <w:szCs w:val="21"/>
                <w:lang w:val="es-CO"/>
              </w:rPr>
            </w:pPr>
          </w:p>
        </w:tc>
        <w:tc>
          <w:tcPr>
            <w:tcW w:w="4673" w:type="dxa"/>
            <w:tcMar/>
          </w:tcPr>
          <w:p w:rsidRPr="0052670A" w:rsidR="00231581" w:rsidP="00D86FE0" w:rsidRDefault="00231581" w14:paraId="74A4BAB2" w14:textId="571947F7">
            <w:pPr>
              <w:pStyle w:val="Textoindependiente"/>
              <w:tabs>
                <w:tab w:val="left" w:pos="284"/>
              </w:tabs>
              <w:rPr>
                <w:rFonts w:ascii="Arial" w:hAnsi="Arial" w:cs="Arial"/>
                <w:bCs/>
                <w:sz w:val="20"/>
                <w:szCs w:val="21"/>
                <w:lang w:val="es-CO"/>
              </w:rPr>
            </w:pPr>
            <w:r w:rsidRPr="0052670A">
              <w:rPr>
                <w:rFonts w:ascii="Arial" w:hAnsi="Arial" w:cs="Arial"/>
                <w:bCs/>
                <w:sz w:val="20"/>
                <w:szCs w:val="21"/>
                <w:lang w:val="es-CO"/>
              </w:rPr>
              <w:t xml:space="preserve">Fabricación de sustancias químicas básicas, abonos y compuestos inorgánicos </w:t>
            </w:r>
            <w:r w:rsidRPr="0052670A" w:rsidR="00C83E13">
              <w:rPr>
                <w:rFonts w:ascii="Arial" w:hAnsi="Arial" w:cs="Arial"/>
                <w:bCs/>
                <w:sz w:val="20"/>
                <w:szCs w:val="21"/>
                <w:lang w:val="es-CO"/>
              </w:rPr>
              <w:t>nitrogenados, plásticos y caucho sintético en formas primarias</w:t>
            </w:r>
          </w:p>
        </w:tc>
      </w:tr>
      <w:tr w:rsidRPr="0052670A" w:rsidR="00885169" w:rsidTr="5CB1E3AC" w14:paraId="54AD5531" w14:textId="77777777">
        <w:tc>
          <w:tcPr>
            <w:tcW w:w="1555" w:type="dxa"/>
            <w:tcMar/>
            <w:vAlign w:val="center"/>
          </w:tcPr>
          <w:p w:rsidRPr="0052670A" w:rsidR="00231581" w:rsidP="00D86FE0" w:rsidRDefault="00231581" w14:paraId="552C37F1" w14:textId="77777777">
            <w:pPr>
              <w:pStyle w:val="Textoindependiente"/>
              <w:tabs>
                <w:tab w:val="left" w:pos="284"/>
              </w:tabs>
              <w:jc w:val="center"/>
              <w:rPr>
                <w:rFonts w:ascii="Arial" w:hAnsi="Arial" w:cs="Arial"/>
                <w:bCs/>
                <w:sz w:val="20"/>
                <w:szCs w:val="21"/>
                <w:lang w:val="es-CO"/>
              </w:rPr>
            </w:pPr>
          </w:p>
        </w:tc>
        <w:tc>
          <w:tcPr>
            <w:tcW w:w="1559" w:type="dxa"/>
            <w:tcMar/>
            <w:vAlign w:val="center"/>
          </w:tcPr>
          <w:p w:rsidRPr="0052670A" w:rsidR="00231581" w:rsidP="00D86FE0" w:rsidRDefault="00231581" w14:paraId="1C6B092C" w14:textId="77777777">
            <w:pPr>
              <w:pStyle w:val="Textoindependiente"/>
              <w:tabs>
                <w:tab w:val="left" w:pos="284"/>
              </w:tabs>
              <w:jc w:val="center"/>
              <w:rPr>
                <w:rFonts w:ascii="Arial" w:hAnsi="Arial" w:cs="Arial"/>
                <w:bCs/>
                <w:sz w:val="20"/>
                <w:szCs w:val="21"/>
                <w:lang w:val="es-CO"/>
              </w:rPr>
            </w:pPr>
          </w:p>
        </w:tc>
        <w:tc>
          <w:tcPr>
            <w:tcW w:w="1417" w:type="dxa"/>
            <w:tcMar/>
            <w:vAlign w:val="center"/>
          </w:tcPr>
          <w:p w:rsidRPr="0052670A" w:rsidR="00231581" w:rsidP="00D86FE0" w:rsidRDefault="00C83E13" w14:paraId="514B90AF" w14:textId="7A46BE73">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2011</w:t>
            </w:r>
          </w:p>
        </w:tc>
        <w:tc>
          <w:tcPr>
            <w:tcW w:w="4673" w:type="dxa"/>
            <w:tcMar/>
          </w:tcPr>
          <w:p w:rsidRPr="0052670A" w:rsidR="00231581" w:rsidP="00D86FE0" w:rsidRDefault="00C83E13" w14:paraId="5AFA7026" w14:textId="6FEB725F">
            <w:pPr>
              <w:pStyle w:val="Textoindependiente"/>
              <w:tabs>
                <w:tab w:val="left" w:pos="284"/>
              </w:tabs>
              <w:rPr>
                <w:rFonts w:ascii="Arial" w:hAnsi="Arial" w:cs="Arial"/>
                <w:bCs/>
                <w:sz w:val="20"/>
                <w:szCs w:val="21"/>
                <w:lang w:val="es-CO"/>
              </w:rPr>
            </w:pPr>
            <w:r w:rsidRPr="0052670A">
              <w:rPr>
                <w:rFonts w:ascii="Arial" w:hAnsi="Arial" w:cs="Arial"/>
                <w:bCs/>
                <w:sz w:val="20"/>
                <w:szCs w:val="21"/>
                <w:lang w:val="es-CO"/>
              </w:rPr>
              <w:t>Fabricación de sustancias y productos químicos básicos</w:t>
            </w:r>
          </w:p>
        </w:tc>
      </w:tr>
      <w:tr w:rsidRPr="0052670A" w:rsidR="00885169" w:rsidTr="5CB1E3AC" w14:paraId="58E677DB" w14:textId="77777777">
        <w:tc>
          <w:tcPr>
            <w:tcW w:w="1555" w:type="dxa"/>
            <w:tcMar/>
            <w:vAlign w:val="center"/>
          </w:tcPr>
          <w:p w:rsidRPr="0052670A" w:rsidR="00231581" w:rsidP="00D86FE0" w:rsidRDefault="00C83E13" w14:paraId="18AA2E84" w14:textId="3CC57137">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21</w:t>
            </w:r>
          </w:p>
        </w:tc>
        <w:tc>
          <w:tcPr>
            <w:tcW w:w="1559" w:type="dxa"/>
            <w:tcMar/>
            <w:vAlign w:val="center"/>
          </w:tcPr>
          <w:p w:rsidRPr="0052670A" w:rsidR="00231581" w:rsidP="00D86FE0" w:rsidRDefault="00231581" w14:paraId="53C73F24" w14:textId="77777777">
            <w:pPr>
              <w:pStyle w:val="Textoindependiente"/>
              <w:tabs>
                <w:tab w:val="left" w:pos="284"/>
              </w:tabs>
              <w:jc w:val="center"/>
              <w:rPr>
                <w:rFonts w:ascii="Arial" w:hAnsi="Arial" w:cs="Arial"/>
                <w:bCs/>
                <w:sz w:val="20"/>
                <w:szCs w:val="21"/>
                <w:lang w:val="es-CO"/>
              </w:rPr>
            </w:pPr>
          </w:p>
        </w:tc>
        <w:tc>
          <w:tcPr>
            <w:tcW w:w="1417" w:type="dxa"/>
            <w:tcMar/>
            <w:vAlign w:val="center"/>
          </w:tcPr>
          <w:p w:rsidRPr="0052670A" w:rsidR="00231581" w:rsidP="00D86FE0" w:rsidRDefault="00231581" w14:paraId="1DCE22F8" w14:textId="77777777">
            <w:pPr>
              <w:pStyle w:val="Textoindependiente"/>
              <w:tabs>
                <w:tab w:val="left" w:pos="284"/>
              </w:tabs>
              <w:jc w:val="center"/>
              <w:rPr>
                <w:rFonts w:ascii="Arial" w:hAnsi="Arial" w:cs="Arial"/>
                <w:bCs/>
                <w:sz w:val="20"/>
                <w:szCs w:val="21"/>
                <w:lang w:val="es-CO"/>
              </w:rPr>
            </w:pPr>
          </w:p>
        </w:tc>
        <w:tc>
          <w:tcPr>
            <w:tcW w:w="4673" w:type="dxa"/>
            <w:tcMar/>
          </w:tcPr>
          <w:p w:rsidRPr="0052670A" w:rsidR="00231581" w:rsidP="00D86FE0" w:rsidRDefault="00C83E13" w14:paraId="0820443C" w14:textId="7B365BA1">
            <w:pPr>
              <w:pStyle w:val="Textoindependiente"/>
              <w:tabs>
                <w:tab w:val="left" w:pos="284"/>
              </w:tabs>
              <w:rPr>
                <w:rFonts w:ascii="Arial" w:hAnsi="Arial" w:cs="Arial"/>
                <w:bCs/>
                <w:sz w:val="20"/>
                <w:szCs w:val="21"/>
                <w:lang w:val="es-CO"/>
              </w:rPr>
            </w:pPr>
            <w:r w:rsidRPr="0052670A">
              <w:rPr>
                <w:rFonts w:ascii="Arial" w:hAnsi="Arial" w:cs="Arial"/>
                <w:bCs/>
                <w:sz w:val="20"/>
                <w:szCs w:val="21"/>
                <w:lang w:val="es-CO"/>
              </w:rPr>
              <w:t>Fabricación de productos farmacéuticos, sustancias químicas medicinales y productos botánicos de uso farmacéutico</w:t>
            </w:r>
          </w:p>
        </w:tc>
      </w:tr>
      <w:tr w:rsidRPr="0052670A" w:rsidR="00885169" w:rsidTr="5CB1E3AC" w14:paraId="4ADD70C6" w14:textId="77777777">
        <w:tc>
          <w:tcPr>
            <w:tcW w:w="1555" w:type="dxa"/>
            <w:tcMar/>
            <w:vAlign w:val="center"/>
          </w:tcPr>
          <w:p w:rsidRPr="0052670A" w:rsidR="00C83E13" w:rsidP="00D86FE0" w:rsidRDefault="00C83E13" w14:paraId="05B32319" w14:textId="77777777">
            <w:pPr>
              <w:pStyle w:val="Textoindependiente"/>
              <w:tabs>
                <w:tab w:val="left" w:pos="284"/>
              </w:tabs>
              <w:jc w:val="center"/>
              <w:rPr>
                <w:rFonts w:ascii="Arial" w:hAnsi="Arial" w:cs="Arial"/>
                <w:bCs/>
                <w:sz w:val="20"/>
                <w:szCs w:val="21"/>
                <w:lang w:val="es-CO"/>
              </w:rPr>
            </w:pPr>
          </w:p>
        </w:tc>
        <w:tc>
          <w:tcPr>
            <w:tcW w:w="1559" w:type="dxa"/>
            <w:tcMar/>
            <w:vAlign w:val="center"/>
          </w:tcPr>
          <w:p w:rsidRPr="0052670A" w:rsidR="00C83E13" w:rsidP="00D86FE0" w:rsidRDefault="00C83E13" w14:paraId="44562E81" w14:textId="20A5D168">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210</w:t>
            </w:r>
          </w:p>
        </w:tc>
        <w:tc>
          <w:tcPr>
            <w:tcW w:w="1417" w:type="dxa"/>
            <w:tcMar/>
            <w:vAlign w:val="center"/>
          </w:tcPr>
          <w:p w:rsidRPr="0052670A" w:rsidR="00C83E13" w:rsidP="00D86FE0" w:rsidRDefault="00C83E13" w14:paraId="3942DC16" w14:textId="2E9205E5">
            <w:pPr>
              <w:pStyle w:val="Textoindependiente"/>
              <w:tabs>
                <w:tab w:val="left" w:pos="284"/>
              </w:tabs>
              <w:jc w:val="center"/>
              <w:rPr>
                <w:rFonts w:ascii="Arial" w:hAnsi="Arial" w:cs="Arial"/>
                <w:bCs/>
                <w:sz w:val="20"/>
                <w:szCs w:val="21"/>
                <w:lang w:val="es-CO"/>
              </w:rPr>
            </w:pPr>
            <w:r w:rsidRPr="0052670A">
              <w:rPr>
                <w:rFonts w:ascii="Arial" w:hAnsi="Arial" w:cs="Arial"/>
                <w:bCs/>
                <w:sz w:val="20"/>
                <w:szCs w:val="21"/>
                <w:lang w:val="es-CO"/>
              </w:rPr>
              <w:t>2100</w:t>
            </w:r>
          </w:p>
        </w:tc>
        <w:tc>
          <w:tcPr>
            <w:tcW w:w="4673" w:type="dxa"/>
            <w:tcMar/>
          </w:tcPr>
          <w:p w:rsidRPr="0052670A" w:rsidR="00C83E13" w:rsidP="5CB1E3AC" w:rsidRDefault="00C83E13" w14:paraId="55020DEF" w14:textId="1B23B10B">
            <w:pPr>
              <w:pStyle w:val="Textoindependiente"/>
              <w:tabs>
                <w:tab w:val="left" w:pos="284"/>
              </w:tabs>
              <w:rPr>
                <w:rFonts w:ascii="Arial" w:hAnsi="Arial" w:cs="Arial"/>
                <w:sz w:val="20"/>
                <w:szCs w:val="20"/>
                <w:lang w:val="es-CO"/>
              </w:rPr>
            </w:pPr>
            <w:r w:rsidRPr="5CB1E3AC" w:rsidR="00C83E13">
              <w:rPr>
                <w:rFonts w:ascii="Arial" w:hAnsi="Arial" w:cs="Arial"/>
                <w:sz w:val="20"/>
                <w:szCs w:val="20"/>
                <w:lang w:val="es-CO"/>
              </w:rPr>
              <w:t>Fabricación de productos farmacéuticos, sustancias químicas medicinales y productos botánicos de uso farmacéutico</w:t>
            </w:r>
            <w:commentRangeEnd w:id="1601334718"/>
            <w:r>
              <w:rPr>
                <w:rStyle w:val="CommentReference"/>
              </w:rPr>
              <w:commentReference w:id="1601334718"/>
            </w:r>
          </w:p>
        </w:tc>
      </w:tr>
    </w:tbl>
    <w:p w:rsidRPr="003D0ADA" w:rsidR="009F149D" w:rsidP="00D86FE0" w:rsidRDefault="001D12AA" w14:paraId="7D91E1F1" w14:textId="3C346171">
      <w:pPr>
        <w:pStyle w:val="Textoindependiente"/>
        <w:tabs>
          <w:tab w:val="left" w:pos="284"/>
        </w:tabs>
        <w:rPr>
          <w:rFonts w:ascii="Arial" w:hAnsi="Arial" w:cs="Arial"/>
          <w:sz w:val="16"/>
          <w:szCs w:val="16"/>
          <w:lang w:val="es-CO"/>
        </w:rPr>
      </w:pPr>
      <w:r w:rsidRPr="1B57225D">
        <w:rPr>
          <w:rFonts w:ascii="Arial" w:hAnsi="Arial" w:cs="Arial"/>
          <w:sz w:val="16"/>
          <w:szCs w:val="16"/>
          <w:lang w:val="en-US" w:eastAsia="es-CO"/>
        </w:rPr>
        <w:t>DANE</w:t>
      </w:r>
      <w:proofErr w:type="gramStart"/>
      <w:r w:rsidRPr="1B57225D">
        <w:rPr>
          <w:rFonts w:ascii="Arial" w:hAnsi="Arial" w:cs="Arial"/>
          <w:sz w:val="16"/>
          <w:szCs w:val="16"/>
          <w:lang w:val="en-US" w:eastAsia="es-CO"/>
        </w:rPr>
        <w:t>,</w:t>
      </w:r>
      <w:r w:rsidRPr="1B57225D">
        <w:rPr>
          <w:rFonts w:ascii="Arial" w:hAnsi="Arial" w:cs="Arial"/>
          <w:sz w:val="16"/>
          <w:szCs w:val="16"/>
          <w:lang w:val="en-US"/>
        </w:rPr>
        <w:t>(</w:t>
      </w:r>
      <w:proofErr w:type="gramEnd"/>
      <w:r w:rsidRPr="1B57225D">
        <w:rPr>
          <w:rFonts w:ascii="Arial" w:hAnsi="Arial" w:cs="Arial"/>
          <w:sz w:val="16"/>
          <w:szCs w:val="16"/>
          <w:lang w:val="en-US"/>
        </w:rPr>
        <w:t xml:space="preserve">2022) </w:t>
      </w:r>
      <w:hyperlink r:id="rId11">
        <w:r w:rsidRPr="1B57225D">
          <w:rPr>
            <w:rStyle w:val="Hipervnculo"/>
            <w:rFonts w:ascii="Arial" w:hAnsi="Arial" w:cs="Arial"/>
            <w:color w:val="auto"/>
            <w:sz w:val="16"/>
            <w:szCs w:val="16"/>
            <w:lang w:val="en-US"/>
          </w:rPr>
          <w:t>https://www.dane.gov.co/files/sen/nomenclatura/ciiu/CIIU_Rev_4_AC2022.pdf</w:t>
        </w:r>
      </w:hyperlink>
      <w:r w:rsidRPr="1B57225D">
        <w:rPr>
          <w:rFonts w:ascii="Arial" w:hAnsi="Arial" w:cs="Arial"/>
          <w:sz w:val="16"/>
          <w:szCs w:val="16"/>
          <w:lang w:val="en-US"/>
        </w:rPr>
        <w:t xml:space="preserve">. </w:t>
      </w:r>
      <w:r w:rsidRPr="1B57225D">
        <w:rPr>
          <w:rFonts w:ascii="Arial" w:hAnsi="Arial" w:cs="Arial"/>
          <w:sz w:val="16"/>
          <w:szCs w:val="16"/>
          <w:lang w:val="es-CO"/>
        </w:rPr>
        <w:t xml:space="preserve">Fecha de consulta: </w:t>
      </w:r>
      <w:r w:rsidR="000B49EC">
        <w:rPr>
          <w:rFonts w:ascii="Arial" w:hAnsi="Arial" w:cs="Arial"/>
          <w:sz w:val="16"/>
          <w:szCs w:val="16"/>
          <w:lang w:val="es-CO"/>
        </w:rPr>
        <w:t>16</w:t>
      </w:r>
      <w:r w:rsidRPr="1B57225D">
        <w:rPr>
          <w:rFonts w:ascii="Arial" w:hAnsi="Arial" w:cs="Arial"/>
          <w:sz w:val="16"/>
          <w:szCs w:val="16"/>
          <w:lang w:val="es-CO"/>
        </w:rPr>
        <w:t xml:space="preserve"> </w:t>
      </w:r>
      <w:r w:rsidR="000B49EC">
        <w:rPr>
          <w:rFonts w:ascii="Arial" w:hAnsi="Arial" w:cs="Arial"/>
          <w:sz w:val="16"/>
          <w:szCs w:val="16"/>
          <w:lang w:val="es-CO"/>
        </w:rPr>
        <w:t>abril</w:t>
      </w:r>
      <w:r w:rsidRPr="1B57225D">
        <w:rPr>
          <w:rFonts w:ascii="Arial" w:hAnsi="Arial" w:cs="Arial"/>
          <w:sz w:val="16"/>
          <w:szCs w:val="16"/>
          <w:lang w:val="es-CO"/>
        </w:rPr>
        <w:t xml:space="preserve"> de 202</w:t>
      </w:r>
      <w:r w:rsidR="000B49EC">
        <w:rPr>
          <w:rFonts w:ascii="Arial" w:hAnsi="Arial" w:cs="Arial"/>
          <w:sz w:val="16"/>
          <w:szCs w:val="16"/>
          <w:lang w:val="es-CO"/>
        </w:rPr>
        <w:t>6</w:t>
      </w:r>
    </w:p>
    <w:p w:rsidRPr="003D0ADA" w:rsidR="007A5461" w:rsidP="00D86FE0" w:rsidRDefault="007A5461" w14:paraId="7AC2E7CE" w14:textId="2243CE76">
      <w:pPr>
        <w:pStyle w:val="Textoindependiente"/>
        <w:tabs>
          <w:tab w:val="left" w:pos="284"/>
        </w:tabs>
        <w:rPr>
          <w:rFonts w:ascii="Arial" w:hAnsi="Arial" w:cs="Arial"/>
          <w:b/>
          <w:sz w:val="21"/>
          <w:szCs w:val="21"/>
          <w:lang w:val="es-CO"/>
        </w:rPr>
      </w:pPr>
    </w:p>
    <w:p w:rsidRPr="003D0ADA" w:rsidR="007A5461" w:rsidP="0CD01878" w:rsidRDefault="007A5461" w14:paraId="1E544BD4" w14:textId="598E91A0">
      <w:pPr>
        <w:pStyle w:val="Textoindependiente"/>
        <w:numPr>
          <w:ilvl w:val="1"/>
          <w:numId w:val="12"/>
        </w:numPr>
        <w:tabs>
          <w:tab w:val="left" w:pos="284"/>
        </w:tabs>
        <w:rPr>
          <w:rFonts w:ascii="Arial" w:hAnsi="Arial" w:cs="Arial"/>
          <w:b w:val="1"/>
          <w:bCs w:val="1"/>
          <w:sz w:val="21"/>
          <w:szCs w:val="21"/>
          <w:lang w:val="es-CO"/>
        </w:rPr>
      </w:pPr>
      <w:commentRangeStart w:id="898975822"/>
      <w:r w:rsidRPr="5CB1E3AC" w:rsidR="007A5461">
        <w:rPr>
          <w:rFonts w:ascii="Arial" w:hAnsi="Arial" w:cs="Arial"/>
          <w:b w:val="1"/>
          <w:bCs w:val="1"/>
          <w:sz w:val="21"/>
          <w:szCs w:val="21"/>
          <w:lang w:val="es-CO"/>
        </w:rPr>
        <w:t>La importancia del Sector en el contexto local y nacional</w:t>
      </w:r>
      <w:commentRangeEnd w:id="898975822"/>
      <w:r>
        <w:rPr>
          <w:rStyle w:val="CommentReference"/>
        </w:rPr>
        <w:commentReference w:id="898975822"/>
      </w:r>
    </w:p>
    <w:p w:rsidRPr="003D0ADA" w:rsidR="007A5461" w:rsidP="0CD01878" w:rsidRDefault="007A5461" w14:paraId="4D758ADB" w14:textId="315CC455">
      <w:pPr>
        <w:pStyle w:val="Textoindependiente"/>
        <w:tabs>
          <w:tab w:val="left" w:pos="284"/>
        </w:tabs>
        <w:rPr>
          <w:rFonts w:ascii="Arial" w:hAnsi="Arial" w:cs="Arial"/>
          <w:b/>
          <w:bCs/>
          <w:sz w:val="21"/>
          <w:szCs w:val="21"/>
          <w:lang w:val="es-CO"/>
        </w:rPr>
      </w:pPr>
    </w:p>
    <w:p w:rsidRPr="00514860" w:rsidR="00851144" w:rsidP="00851144" w:rsidRDefault="00851144" w14:paraId="138F71AD" w14:textId="4B3C514B">
      <w:pPr>
        <w:autoSpaceDE w:val="0"/>
        <w:autoSpaceDN w:val="0"/>
        <w:adjustRightInd w:val="0"/>
        <w:jc w:val="both"/>
        <w:rPr>
          <w:rFonts w:ascii="Arial" w:hAnsi="Arial" w:cs="Arial" w:eastAsiaTheme="minorHAnsi"/>
          <w:sz w:val="21"/>
          <w:szCs w:val="21"/>
          <w:lang w:val="es-CO" w:eastAsia="en-US"/>
        </w:rPr>
      </w:pPr>
      <w:r w:rsidRPr="00514860">
        <w:rPr>
          <w:rFonts w:ascii="Arial" w:hAnsi="Arial" w:cs="Arial" w:eastAsiaTheme="minorHAnsi"/>
          <w:sz w:val="21"/>
          <w:szCs w:val="21"/>
          <w:lang w:val="es-CO" w:eastAsia="en-US"/>
        </w:rPr>
        <w:t xml:space="preserve">El comercio internacional permite a los países ampliar sus mercados y acceder a bienes y servicios que de otro modo no estarían disponibles a nivel nacional a lo cual mediante los últimos tiempos este ha permitido la importación y exportación permitiendo así estrechar las relaciones comerciales entre las naciones, uno de los elementos principales es la importación de bienes, proceso por el cual se tramita el ingreso de productos provenientes de territorios diferentes al local, por medio de este intercambio, se busca acceder a mercancías que no se encuentra en el mercado interno como lo son equipos, reactivos y/o insumos de laboratorio especializado. </w:t>
      </w:r>
    </w:p>
    <w:p w:rsidRPr="00514860" w:rsidR="005E5FF3" w:rsidP="00851144" w:rsidRDefault="005E5FF3" w14:paraId="64079791" w14:textId="77777777">
      <w:pPr>
        <w:autoSpaceDE w:val="0"/>
        <w:autoSpaceDN w:val="0"/>
        <w:adjustRightInd w:val="0"/>
        <w:jc w:val="both"/>
        <w:rPr>
          <w:rFonts w:ascii="Arial" w:hAnsi="Arial" w:cs="Arial" w:eastAsiaTheme="minorHAnsi"/>
          <w:sz w:val="21"/>
          <w:szCs w:val="21"/>
          <w:lang w:val="es-CO" w:eastAsia="en-US"/>
        </w:rPr>
      </w:pPr>
    </w:p>
    <w:p w:rsidRPr="00514860" w:rsidR="00851144" w:rsidP="00851144" w:rsidRDefault="00851144" w14:paraId="0108BC63" w14:textId="124E700B">
      <w:pPr>
        <w:autoSpaceDE w:val="0"/>
        <w:autoSpaceDN w:val="0"/>
        <w:adjustRightInd w:val="0"/>
        <w:jc w:val="both"/>
        <w:rPr>
          <w:rFonts w:ascii="Arial" w:hAnsi="Arial" w:cs="Arial" w:eastAsiaTheme="minorHAnsi"/>
          <w:sz w:val="21"/>
          <w:szCs w:val="21"/>
          <w:lang w:val="es-CO" w:eastAsia="en-US"/>
        </w:rPr>
      </w:pPr>
      <w:r w:rsidRPr="00514860">
        <w:rPr>
          <w:rFonts w:ascii="Arial" w:hAnsi="Arial" w:cs="Arial" w:eastAsiaTheme="minorHAnsi"/>
          <w:sz w:val="21"/>
          <w:szCs w:val="21"/>
          <w:lang w:val="es-CO" w:eastAsia="en-US"/>
        </w:rPr>
        <w:t xml:space="preserve">Las importaciones se han convertido en elemento fundamental, ya que los procesos de producción se han distribuido entre diferentes locaciones geográficas con el fin de aprovechar las ventajas competitivas de cada lugar, es de resaltar que después de la pandemia la dinámica comercial permitió el desarrollo de reestructuración y desestructuración comercial permitiendo así transición de actualización de la revolución tecnológica, conllevando a generar nuevos mecanismos en la importación de diferentes insumos a fin de permitir un movimiento radical en la base productiva en las prácticas de producción y competitividad. </w:t>
      </w:r>
    </w:p>
    <w:p w:rsidRPr="00514860" w:rsidR="005E5FF3" w:rsidP="00851144" w:rsidRDefault="005E5FF3" w14:paraId="662D0BB8" w14:textId="77777777">
      <w:pPr>
        <w:autoSpaceDE w:val="0"/>
        <w:autoSpaceDN w:val="0"/>
        <w:adjustRightInd w:val="0"/>
        <w:jc w:val="both"/>
        <w:rPr>
          <w:rFonts w:ascii="Arial" w:hAnsi="Arial" w:cs="Arial" w:eastAsiaTheme="minorHAnsi"/>
          <w:sz w:val="21"/>
          <w:szCs w:val="21"/>
          <w:lang w:val="es-CO" w:eastAsia="en-US"/>
        </w:rPr>
      </w:pPr>
    </w:p>
    <w:p w:rsidRPr="00514860" w:rsidR="00851144" w:rsidP="00851144" w:rsidRDefault="00851144" w14:paraId="472FE0D4" w14:textId="692774BF">
      <w:pPr>
        <w:autoSpaceDE w:val="0"/>
        <w:autoSpaceDN w:val="0"/>
        <w:adjustRightInd w:val="0"/>
        <w:jc w:val="both"/>
        <w:rPr>
          <w:rFonts w:ascii="Arial" w:hAnsi="Arial" w:cs="Arial" w:eastAsiaTheme="minorHAnsi"/>
          <w:sz w:val="21"/>
          <w:szCs w:val="21"/>
          <w:lang w:val="es-CO" w:eastAsia="en-US"/>
        </w:rPr>
      </w:pPr>
      <w:r w:rsidRPr="00514860">
        <w:rPr>
          <w:rFonts w:ascii="Arial" w:hAnsi="Arial" w:cs="Arial" w:eastAsiaTheme="minorHAnsi"/>
          <w:sz w:val="21"/>
          <w:szCs w:val="21"/>
          <w:lang w:val="es-CO" w:eastAsia="en-US"/>
        </w:rPr>
        <w:t xml:space="preserve">Si la importación de bienes no se controla como es debido, se pueden presentar desventajas como ser un factor negativo para la economía, pues si son desmesuradas, el mercado se puede volver </w:t>
      </w:r>
      <w:r w:rsidRPr="00514860">
        <w:rPr>
          <w:rFonts w:ascii="Arial" w:hAnsi="Arial" w:cs="Arial" w:eastAsiaTheme="minorHAnsi"/>
          <w:sz w:val="21"/>
          <w:szCs w:val="21"/>
          <w:lang w:val="es-CO" w:eastAsia="en-US"/>
        </w:rPr>
        <w:t xml:space="preserve">dependiente y afectaría los costos de los productos finales. Una de las causales para comprar en el exterior, es que en el mercado local no se ofrece lo que se demanda, o por los gastos logísticos, aduaneros o arancelarios son muy altos, incrementando los costos, o porque el mercado local se debita, ya que en ocasiones los productos son tan de bajo costos en el exterior, que el producto nacional no puede ser competitivo de ninguna manera, en cualquier caso, las importaciones aumentan el valor de la moneda extranjera. </w:t>
      </w:r>
    </w:p>
    <w:p w:rsidRPr="00514860" w:rsidR="005E5FF3" w:rsidP="00851144" w:rsidRDefault="005E5FF3" w14:paraId="29B6BA99" w14:textId="77777777">
      <w:pPr>
        <w:autoSpaceDE w:val="0"/>
        <w:autoSpaceDN w:val="0"/>
        <w:adjustRightInd w:val="0"/>
        <w:jc w:val="both"/>
        <w:rPr>
          <w:rFonts w:ascii="Arial" w:hAnsi="Arial" w:cs="Arial" w:eastAsiaTheme="minorHAnsi"/>
          <w:sz w:val="21"/>
          <w:szCs w:val="21"/>
          <w:lang w:val="es-CO" w:eastAsia="en-US"/>
        </w:rPr>
      </w:pPr>
    </w:p>
    <w:p w:rsidRPr="00514860" w:rsidR="009F149D" w:rsidP="030C088D" w:rsidRDefault="00851144" w14:paraId="6D7AAC83" w14:textId="79157A70">
      <w:pPr>
        <w:pStyle w:val="Textoindependiente"/>
        <w:tabs>
          <w:tab w:val="left" w:pos="284"/>
        </w:tabs>
      </w:pPr>
      <w:r w:rsidRPr="79D8FB7C">
        <w:rPr>
          <w:rFonts w:ascii="Arial" w:hAnsi="Arial" w:cs="Arial" w:eastAsiaTheme="minorEastAsia"/>
          <w:sz w:val="21"/>
          <w:szCs w:val="21"/>
          <w:lang w:val="es-CO" w:eastAsia="en-US"/>
        </w:rPr>
        <w:t>En vista de los factores enunciados, se puede concluir que la importación de bienes y/o insumos tiene gran importancia para cada país, pero el éxito de que no se conviertan en un factor negativo para la economía, es lograr un equilibrio permitiendo así el acceso a más productos sin afectar los mercados locales. En el caso de Colombia, la importación de bienes está regida por diferentes barreras tanto arancelarias, como no arancelarias, y hoy son superiores a las exportaciones, dando como resultado una economía deficitaria.</w:t>
      </w:r>
    </w:p>
    <w:p w:rsidRPr="00280689" w:rsidR="00280689" w:rsidP="3588B75B" w:rsidRDefault="00280689" w14:paraId="780CABA0" w14:textId="77777777">
      <w:pPr>
        <w:pStyle w:val="Textoindependiente"/>
        <w:tabs>
          <w:tab w:val="left" w:pos="284"/>
        </w:tabs>
        <w:rPr>
          <w:rFonts w:ascii="Arial" w:hAnsi="Arial" w:cs="Arial" w:eastAsiaTheme="minorEastAsia"/>
          <w:sz w:val="16"/>
          <w:szCs w:val="16"/>
          <w:lang w:val="es-CO" w:eastAsia="en-US"/>
        </w:rPr>
      </w:pPr>
    </w:p>
    <w:p w:rsidRPr="00280689" w:rsidR="3BDE6604" w:rsidP="3588B75B" w:rsidRDefault="3BDE6604" w14:paraId="20BA1392" w14:textId="41E13720">
      <w:pPr>
        <w:pStyle w:val="Textoindependiente"/>
        <w:tabs>
          <w:tab w:val="left" w:pos="284"/>
        </w:tabs>
        <w:rPr>
          <w:rFonts w:ascii="Arial" w:hAnsi="Arial" w:eastAsia="Calibri" w:cs="Arial"/>
          <w:sz w:val="16"/>
          <w:szCs w:val="16"/>
          <w:lang w:val="es-CO"/>
        </w:rPr>
      </w:pPr>
      <w:r w:rsidRPr="00280689">
        <w:rPr>
          <w:rFonts w:ascii="Arial" w:hAnsi="Arial" w:cs="Arial" w:eastAsiaTheme="minorEastAsia"/>
          <w:sz w:val="16"/>
          <w:szCs w:val="16"/>
          <w:lang w:val="es-CO" w:eastAsia="en-US"/>
        </w:rPr>
        <w:t xml:space="preserve">Fuente: </w:t>
      </w:r>
      <w:proofErr w:type="gramStart"/>
      <w:r w:rsidRPr="00280689" w:rsidR="0AC99D8C">
        <w:rPr>
          <w:rFonts w:ascii="Arial" w:hAnsi="Arial" w:cs="Arial" w:eastAsiaTheme="minorEastAsia"/>
          <w:sz w:val="16"/>
          <w:szCs w:val="16"/>
          <w:lang w:val="es-CO" w:eastAsia="en-US"/>
        </w:rPr>
        <w:t>https://www.mincit.gov.co/mincomercioexterior/como-importar-a-colombia  -</w:t>
      </w:r>
      <w:proofErr w:type="gramEnd"/>
      <w:r w:rsidRPr="00280689" w:rsidR="0AC99D8C">
        <w:rPr>
          <w:rFonts w:ascii="Arial" w:hAnsi="Arial" w:cs="Arial" w:eastAsiaTheme="minorEastAsia"/>
          <w:sz w:val="16"/>
          <w:szCs w:val="16"/>
          <w:lang w:val="es-CO" w:eastAsia="en-US"/>
        </w:rPr>
        <w:t xml:space="preserve"> </w:t>
      </w:r>
      <w:r w:rsidRPr="00280689">
        <w:rPr>
          <w:rFonts w:ascii="Arial" w:hAnsi="Arial" w:eastAsia="Calibri" w:cs="Arial"/>
          <w:sz w:val="16"/>
          <w:szCs w:val="16"/>
          <w:lang w:val="es-CO"/>
        </w:rPr>
        <w:t>Comisión Económica para América Latina y el Caribe [CEPAL]. - Organización Mundial del Comercio [OMC].</w:t>
      </w:r>
      <w:r w:rsidRPr="00280689" w:rsidR="435FC0B3">
        <w:rPr>
          <w:rFonts w:ascii="Arial" w:hAnsi="Arial" w:eastAsia="Calibri" w:cs="Arial"/>
          <w:sz w:val="16"/>
          <w:szCs w:val="16"/>
          <w:lang w:val="es-CO"/>
        </w:rPr>
        <w:t xml:space="preserve"> Fecha de consulta: </w:t>
      </w:r>
      <w:r w:rsidRPr="00280689" w:rsidR="00280689">
        <w:rPr>
          <w:rFonts w:ascii="Arial" w:hAnsi="Arial" w:eastAsia="Calibri" w:cs="Arial"/>
          <w:sz w:val="16"/>
          <w:szCs w:val="16"/>
          <w:lang w:val="es-CO"/>
        </w:rPr>
        <w:t>10</w:t>
      </w:r>
      <w:r w:rsidRPr="00280689" w:rsidR="435FC0B3">
        <w:rPr>
          <w:rFonts w:ascii="Arial" w:hAnsi="Arial" w:eastAsia="Calibri" w:cs="Arial"/>
          <w:sz w:val="16"/>
          <w:szCs w:val="16"/>
          <w:lang w:val="es-CO"/>
        </w:rPr>
        <w:t xml:space="preserve"> de </w:t>
      </w:r>
      <w:r w:rsidRPr="00280689" w:rsidR="00280689">
        <w:rPr>
          <w:rFonts w:ascii="Arial" w:hAnsi="Arial" w:eastAsia="Calibri" w:cs="Arial"/>
          <w:sz w:val="16"/>
          <w:szCs w:val="16"/>
          <w:lang w:val="es-CO"/>
        </w:rPr>
        <w:t>junio</w:t>
      </w:r>
      <w:r w:rsidRPr="00280689" w:rsidR="435FC0B3">
        <w:rPr>
          <w:rFonts w:ascii="Arial" w:hAnsi="Arial" w:eastAsia="Calibri" w:cs="Arial"/>
          <w:sz w:val="16"/>
          <w:szCs w:val="16"/>
          <w:lang w:val="es-CO"/>
        </w:rPr>
        <w:t xml:space="preserve"> de 2026.</w:t>
      </w:r>
    </w:p>
    <w:p w:rsidRPr="003D0ADA" w:rsidR="00851144" w:rsidP="539F01B6" w:rsidRDefault="00851144" w14:paraId="480719D7" w14:textId="77777777">
      <w:pPr>
        <w:pStyle w:val="Textoindependiente"/>
        <w:tabs>
          <w:tab w:val="left" w:pos="284"/>
        </w:tabs>
        <w:rPr>
          <w:rFonts w:ascii="Arial" w:hAnsi="Arial" w:cs="Arial"/>
          <w:b/>
          <w:bCs/>
          <w:sz w:val="21"/>
          <w:szCs w:val="21"/>
          <w:lang w:val="es-CO"/>
        </w:rPr>
      </w:pPr>
    </w:p>
    <w:p w:rsidR="0052670A" w:rsidP="00D86FE0" w:rsidRDefault="0052670A" w14:paraId="7D4E18A7" w14:textId="77777777">
      <w:pPr>
        <w:pStyle w:val="Textoindependiente"/>
        <w:tabs>
          <w:tab w:val="left" w:pos="284"/>
        </w:tabs>
        <w:rPr>
          <w:rFonts w:ascii="Arial" w:hAnsi="Arial" w:cs="Arial"/>
          <w:b/>
          <w:bCs/>
          <w:sz w:val="21"/>
          <w:szCs w:val="21"/>
          <w:lang w:val="es-CO"/>
        </w:rPr>
      </w:pPr>
    </w:p>
    <w:p w:rsidR="001D12AA" w:rsidP="00D86FE0" w:rsidRDefault="001D12AA" w14:paraId="168940B9" w14:textId="4871B28D">
      <w:pPr>
        <w:pStyle w:val="Textoindependiente"/>
        <w:tabs>
          <w:tab w:val="left" w:pos="284"/>
        </w:tabs>
        <w:rPr>
          <w:rFonts w:ascii="Arial" w:hAnsi="Arial" w:cs="Arial"/>
          <w:b/>
          <w:sz w:val="21"/>
          <w:szCs w:val="21"/>
          <w:lang w:val="es-CO"/>
        </w:rPr>
      </w:pPr>
      <w:r w:rsidRPr="00BA4085">
        <w:rPr>
          <w:rFonts w:ascii="Arial" w:hAnsi="Arial" w:cs="Arial"/>
          <w:b/>
          <w:sz w:val="21"/>
          <w:szCs w:val="21"/>
          <w:lang w:val="es-CO"/>
        </w:rPr>
        <w:t>Producción Bruta del Sector Manufacturera</w:t>
      </w:r>
    </w:p>
    <w:p w:rsidRPr="003D0ADA" w:rsidR="00514860" w:rsidP="00D86FE0" w:rsidRDefault="00514860" w14:paraId="4CDBB240" w14:textId="77777777">
      <w:pPr>
        <w:pStyle w:val="Textoindependiente"/>
        <w:tabs>
          <w:tab w:val="left" w:pos="284"/>
        </w:tabs>
        <w:rPr>
          <w:rFonts w:ascii="Arial" w:hAnsi="Arial" w:cs="Arial"/>
          <w:bCs/>
          <w:sz w:val="21"/>
          <w:szCs w:val="21"/>
          <w:lang w:val="es-CO"/>
        </w:rPr>
      </w:pPr>
    </w:p>
    <w:p w:rsidRPr="00514860" w:rsidR="00B73675" w:rsidP="003F536D" w:rsidRDefault="0052670A" w14:paraId="0FF3C418" w14:textId="6EC1B71E">
      <w:pPr>
        <w:pStyle w:val="Textoindependiente"/>
        <w:tabs>
          <w:tab w:val="left" w:pos="284"/>
        </w:tabs>
        <w:rPr>
          <w:rStyle w:val="eop"/>
          <w:rFonts w:ascii="Arial" w:hAnsi="Arial" w:cs="Arial"/>
          <w:color w:val="000000"/>
          <w:sz w:val="21"/>
          <w:szCs w:val="21"/>
        </w:rPr>
      </w:pPr>
      <w:r w:rsidRPr="00514860">
        <w:rPr>
          <w:rStyle w:val="normaltextrun"/>
          <w:rFonts w:ascii="Arial" w:hAnsi="Arial" w:cs="Arial"/>
          <w:color w:val="000000"/>
          <w:sz w:val="21"/>
          <w:szCs w:val="21"/>
          <w:shd w:val="clear" w:color="auto" w:fill="FFFFFF"/>
        </w:rPr>
        <w:t>Previa verificación de los resultados de acuerdo con la Encuesta Mensual Manufacturera con enfoque territorial EMMET </w:t>
      </w:r>
      <w:r w:rsidR="00280689">
        <w:rPr>
          <w:rStyle w:val="normaltextrun"/>
          <w:rFonts w:ascii="Arial" w:hAnsi="Arial" w:cs="Arial"/>
          <w:color w:val="000000"/>
          <w:sz w:val="21"/>
          <w:szCs w:val="21"/>
          <w:shd w:val="clear" w:color="auto" w:fill="FFFFFF"/>
        </w:rPr>
        <w:t>marzo</w:t>
      </w:r>
      <w:r w:rsidRPr="00514860">
        <w:rPr>
          <w:rStyle w:val="normaltextrun"/>
          <w:rFonts w:ascii="Arial" w:hAnsi="Arial" w:cs="Arial"/>
          <w:color w:val="000000"/>
          <w:sz w:val="21"/>
          <w:szCs w:val="21"/>
          <w:shd w:val="clear" w:color="auto" w:fill="FFFFFF"/>
        </w:rPr>
        <w:t> 2026</w:t>
      </w:r>
      <w:r w:rsidRPr="00514860">
        <w:rPr>
          <w:rStyle w:val="superscript"/>
          <w:rFonts w:ascii="Arial" w:hAnsi="Arial" w:cs="Arial"/>
          <w:color w:val="000000"/>
          <w:sz w:val="21"/>
          <w:szCs w:val="21"/>
          <w:vertAlign w:val="superscript"/>
        </w:rPr>
        <w:t>2</w:t>
      </w:r>
      <w:r w:rsidRPr="00514860">
        <w:rPr>
          <w:rStyle w:val="normaltextrun"/>
          <w:rFonts w:ascii="Arial" w:hAnsi="Arial" w:cs="Arial"/>
          <w:color w:val="000000"/>
          <w:sz w:val="21"/>
          <w:szCs w:val="21"/>
          <w:shd w:val="clear" w:color="auto" w:fill="FFFFFF"/>
        </w:rPr>
        <w:t xml:space="preserve">, de las 39 actividades industriales representadas por la encuesta, </w:t>
      </w:r>
      <w:r w:rsidRPr="00280689" w:rsidR="00280689">
        <w:rPr>
          <w:rFonts w:ascii="Arial" w:hAnsi="Arial" w:cs="Arial"/>
          <w:color w:val="000000"/>
          <w:sz w:val="21"/>
          <w:szCs w:val="21"/>
          <w:shd w:val="clear" w:color="auto" w:fill="FFFFFF"/>
        </w:rPr>
        <w:t>un total de 23 registraron variaciones positivas en su producción real, sumando 5,9 puntos porcentuales a la variación total anual y 16 subsectores con variaciones negativas que restaron en conjunto 2,0 puntos porcentuales a la variación total</w:t>
      </w:r>
      <w:r w:rsidRPr="00514860">
        <w:rPr>
          <w:rStyle w:val="normaltextrun"/>
          <w:rFonts w:ascii="Arial" w:hAnsi="Arial" w:cs="Arial"/>
          <w:color w:val="000000"/>
          <w:sz w:val="21"/>
          <w:szCs w:val="21"/>
          <w:shd w:val="clear" w:color="auto" w:fill="FFFFFF"/>
        </w:rPr>
        <w:t>.</w:t>
      </w:r>
      <w:r w:rsidRPr="00514860">
        <w:rPr>
          <w:rStyle w:val="eop"/>
          <w:rFonts w:ascii="Arial" w:hAnsi="Arial" w:cs="Arial"/>
          <w:color w:val="000000"/>
          <w:sz w:val="21"/>
          <w:szCs w:val="21"/>
        </w:rPr>
        <w:t> </w:t>
      </w:r>
    </w:p>
    <w:p w:rsidRPr="00514860" w:rsidR="0052670A" w:rsidP="003F536D" w:rsidRDefault="0052670A" w14:paraId="3F10720E" w14:textId="77777777">
      <w:pPr>
        <w:pStyle w:val="Textoindependiente"/>
        <w:tabs>
          <w:tab w:val="left" w:pos="284"/>
        </w:tabs>
        <w:rPr>
          <w:rFonts w:ascii="Arial" w:hAnsi="Arial" w:cs="Arial"/>
          <w:bCs/>
          <w:sz w:val="21"/>
          <w:szCs w:val="21"/>
          <w:lang w:val="es-CO"/>
        </w:rPr>
      </w:pPr>
    </w:p>
    <w:p w:rsidRPr="00514860" w:rsidR="00B73675" w:rsidP="5AFEBD85" w:rsidRDefault="00B73675" w14:paraId="20B70A40" w14:textId="627226D9">
      <w:pPr>
        <w:pStyle w:val="Textoindependiente"/>
        <w:tabs>
          <w:tab w:val="left" w:pos="284"/>
        </w:tabs>
        <w:rPr>
          <w:rFonts w:ascii="Arial" w:hAnsi="Arial" w:cs="Arial"/>
          <w:sz w:val="21"/>
          <w:szCs w:val="21"/>
          <w:lang w:val="es-CO"/>
        </w:rPr>
      </w:pPr>
      <w:r w:rsidRPr="00514860">
        <w:rPr>
          <w:rFonts w:ascii="Arial" w:hAnsi="Arial" w:cs="Arial"/>
          <w:sz w:val="21"/>
          <w:szCs w:val="21"/>
          <w:lang w:val="es-CO"/>
        </w:rPr>
        <w:t>Tabla 1</w:t>
      </w:r>
      <w:r w:rsidRPr="00514860" w:rsidR="2AD8DA23">
        <w:rPr>
          <w:rFonts w:ascii="Arial" w:hAnsi="Arial" w:cs="Arial"/>
          <w:sz w:val="21"/>
          <w:szCs w:val="21"/>
          <w:lang w:val="es-CO"/>
        </w:rPr>
        <w:t xml:space="preserve"> del Sector</w:t>
      </w:r>
    </w:p>
    <w:p w:rsidR="00B73675" w:rsidP="00B73675" w:rsidRDefault="00B73675" w14:paraId="4B498226" w14:textId="77777777">
      <w:pPr>
        <w:pStyle w:val="Textoindependiente"/>
        <w:tabs>
          <w:tab w:val="left" w:pos="284"/>
        </w:tabs>
        <w:jc w:val="left"/>
        <w:rPr>
          <w:noProof/>
          <w:lang w:val="es-CO" w:eastAsia="es-CO"/>
        </w:rPr>
      </w:pPr>
    </w:p>
    <w:p w:rsidR="057E8578" w:rsidP="261841DD" w:rsidRDefault="00280689" w14:paraId="63A0BC22" w14:textId="15765C1F">
      <w:pPr>
        <w:pStyle w:val="Textoindependiente"/>
        <w:tabs>
          <w:tab w:val="left" w:pos="284"/>
        </w:tabs>
        <w:jc w:val="center"/>
      </w:pPr>
      <w:r w:rsidRPr="00280689">
        <w:rPr>
          <w:noProof/>
          <w:lang w:val="es-CO" w:eastAsia="es-CO"/>
        </w:rPr>
        <w:drawing>
          <wp:inline distT="0" distB="0" distL="0" distR="0" wp14:anchorId="78B8DD76" wp14:editId="6714EDA7">
            <wp:extent cx="4343776" cy="5159187"/>
            <wp:effectExtent l="0" t="0" r="0" b="3810"/>
            <wp:docPr id="5227741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74160" name=""/>
                    <pic:cNvPicPr/>
                  </pic:nvPicPr>
                  <pic:blipFill>
                    <a:blip r:embed="rId12"/>
                    <a:stretch>
                      <a:fillRect/>
                    </a:stretch>
                  </pic:blipFill>
                  <pic:spPr>
                    <a:xfrm>
                      <a:off x="0" y="0"/>
                      <a:ext cx="4343776" cy="5159187"/>
                    </a:xfrm>
                    <a:prstGeom prst="rect">
                      <a:avLst/>
                    </a:prstGeom>
                  </pic:spPr>
                </pic:pic>
              </a:graphicData>
            </a:graphic>
          </wp:inline>
        </w:drawing>
      </w:r>
    </w:p>
    <w:p w:rsidRPr="00514860" w:rsidR="00453C78" w:rsidP="00453C78" w:rsidRDefault="4F429FA2" w14:paraId="6784AAE8" w14:textId="1C46407A">
      <w:pPr>
        <w:autoSpaceDE w:val="0"/>
        <w:autoSpaceDN w:val="0"/>
        <w:adjustRightInd w:val="0"/>
        <w:jc w:val="both"/>
        <w:rPr>
          <w:rFonts w:ascii="Arial" w:hAnsi="Arial" w:cs="Arial"/>
          <w:sz w:val="14"/>
          <w:szCs w:val="16"/>
          <w:lang w:eastAsia="es-CO"/>
        </w:rPr>
      </w:pPr>
      <w:r w:rsidRPr="00514860">
        <w:rPr>
          <w:rFonts w:ascii="Arial" w:hAnsi="Arial" w:cs="Arial"/>
          <w:sz w:val="14"/>
          <w:szCs w:val="16"/>
          <w:lang w:eastAsia="es-CO"/>
        </w:rPr>
        <w:t xml:space="preserve">Fuente: </w:t>
      </w:r>
      <w:r w:rsidRPr="00514860" w:rsidR="3E8195A6">
        <w:rPr>
          <w:rFonts w:ascii="Arial" w:hAnsi="Arial" w:cs="Arial"/>
          <w:sz w:val="14"/>
          <w:szCs w:val="16"/>
          <w:lang w:eastAsia="es-CO"/>
        </w:rPr>
        <w:t xml:space="preserve">Departamento Administrativo Nacional de Estadística (DANE). </w:t>
      </w:r>
      <w:r w:rsidRPr="00514860" w:rsidR="3E8195A6">
        <w:rPr>
          <w:rFonts w:ascii="Arial" w:hAnsi="Arial" w:cs="Arial"/>
          <w:i/>
          <w:iCs/>
          <w:sz w:val="14"/>
          <w:szCs w:val="16"/>
          <w:lang w:eastAsia="es-CO"/>
        </w:rPr>
        <w:t xml:space="preserve">Boletín </w:t>
      </w:r>
      <w:r w:rsidRPr="00514860" w:rsidR="3E8195A6">
        <w:rPr>
          <w:rFonts w:ascii="Arial" w:hAnsi="Arial" w:cs="Arial"/>
          <w:sz w:val="14"/>
          <w:szCs w:val="16"/>
          <w:lang w:eastAsia="es-CO"/>
        </w:rPr>
        <w:t xml:space="preserve">Encuesta Mensual Manufacturera con Enfoque Territorial EMMET </w:t>
      </w:r>
      <w:r w:rsidR="00280689">
        <w:rPr>
          <w:rFonts w:ascii="Arial" w:hAnsi="Arial" w:cs="Arial"/>
          <w:sz w:val="14"/>
          <w:szCs w:val="16"/>
          <w:lang w:eastAsia="es-CO"/>
        </w:rPr>
        <w:t>marzo</w:t>
      </w:r>
      <w:r w:rsidRPr="00514860" w:rsidR="3E8195A6">
        <w:rPr>
          <w:rFonts w:ascii="Arial" w:hAnsi="Arial" w:cs="Arial"/>
          <w:sz w:val="14"/>
          <w:szCs w:val="16"/>
          <w:lang w:eastAsia="es-CO"/>
        </w:rPr>
        <w:t xml:space="preserve"> 202</w:t>
      </w:r>
      <w:r w:rsidRPr="00514860" w:rsidR="3F5BD740">
        <w:rPr>
          <w:rFonts w:ascii="Arial" w:hAnsi="Arial" w:cs="Arial"/>
          <w:sz w:val="14"/>
          <w:szCs w:val="16"/>
          <w:lang w:eastAsia="es-CO"/>
        </w:rPr>
        <w:t>6</w:t>
      </w:r>
      <w:r w:rsidRPr="00514860" w:rsidR="3E8195A6">
        <w:rPr>
          <w:rFonts w:ascii="Arial" w:hAnsi="Arial" w:cs="Arial"/>
          <w:i/>
          <w:iCs/>
          <w:sz w:val="14"/>
          <w:szCs w:val="16"/>
          <w:lang w:eastAsia="es-CO"/>
        </w:rPr>
        <w:t>.</w:t>
      </w:r>
      <w:r w:rsidRPr="00514860" w:rsidR="3E8195A6">
        <w:rPr>
          <w:rFonts w:ascii="Arial" w:hAnsi="Arial" w:cs="Arial"/>
          <w:sz w:val="14"/>
          <w:szCs w:val="16"/>
          <w:lang w:eastAsia="es-CO"/>
        </w:rPr>
        <w:t>:</w:t>
      </w:r>
      <w:r w:rsidRPr="00514860" w:rsidR="3E8195A6">
        <w:rPr>
          <w:sz w:val="22"/>
        </w:rPr>
        <w:t xml:space="preserve"> </w:t>
      </w:r>
      <w:hyperlink r:id="rId13">
        <w:r w:rsidRPr="00514860" w:rsidR="3F5BD740">
          <w:rPr>
            <w:rStyle w:val="Hipervnculo"/>
            <w:sz w:val="18"/>
            <w:szCs w:val="20"/>
          </w:rPr>
          <w:t>https://www.dane.gov.co/index.php/estadisticas-por-tema/industria/encuesta-mensual-manufacturera-con-enfoque-territorial-emmet</w:t>
        </w:r>
      </w:hyperlink>
      <w:r w:rsidRPr="00514860" w:rsidR="3F5BD740">
        <w:rPr>
          <w:sz w:val="18"/>
          <w:szCs w:val="20"/>
        </w:rPr>
        <w:t xml:space="preserve"> </w:t>
      </w:r>
      <w:r w:rsidRPr="00514860" w:rsidR="3E8195A6">
        <w:rPr>
          <w:sz w:val="18"/>
          <w:szCs w:val="20"/>
        </w:rPr>
        <w:t xml:space="preserve"> </w:t>
      </w:r>
      <w:r w:rsidRPr="00514860" w:rsidR="3E8195A6">
        <w:rPr>
          <w:rFonts w:ascii="Arial" w:hAnsi="Arial" w:cs="Arial"/>
          <w:sz w:val="10"/>
          <w:szCs w:val="12"/>
          <w:lang w:eastAsia="es-CO"/>
        </w:rPr>
        <w:t xml:space="preserve"> </w:t>
      </w:r>
      <w:r w:rsidRPr="00514860" w:rsidR="3E8195A6">
        <w:rPr>
          <w:rFonts w:ascii="Arial" w:hAnsi="Arial" w:cs="Arial"/>
          <w:sz w:val="14"/>
          <w:szCs w:val="16"/>
          <w:lang w:eastAsia="es-CO"/>
        </w:rPr>
        <w:t>Fecha</w:t>
      </w:r>
      <w:r w:rsidRPr="00514860" w:rsidR="3E8195A6">
        <w:rPr>
          <w:rFonts w:ascii="Arial" w:hAnsi="Arial" w:cs="Arial"/>
          <w:sz w:val="14"/>
          <w:szCs w:val="16"/>
        </w:rPr>
        <w:t xml:space="preserve"> de consulta: </w:t>
      </w:r>
      <w:r w:rsidR="00280689">
        <w:rPr>
          <w:rFonts w:ascii="Arial" w:hAnsi="Arial" w:cs="Arial"/>
          <w:sz w:val="14"/>
          <w:szCs w:val="16"/>
        </w:rPr>
        <w:t>10</w:t>
      </w:r>
      <w:r w:rsidRPr="00514860" w:rsidR="3E8195A6">
        <w:rPr>
          <w:rFonts w:ascii="Arial" w:hAnsi="Arial" w:cs="Arial"/>
          <w:sz w:val="14"/>
          <w:szCs w:val="16"/>
        </w:rPr>
        <w:t xml:space="preserve"> de </w:t>
      </w:r>
      <w:r w:rsidR="00280689">
        <w:rPr>
          <w:rFonts w:ascii="Arial" w:hAnsi="Arial" w:cs="Arial"/>
          <w:sz w:val="14"/>
          <w:szCs w:val="16"/>
        </w:rPr>
        <w:t>juni</w:t>
      </w:r>
      <w:r w:rsidR="00582115">
        <w:rPr>
          <w:rFonts w:ascii="Arial" w:hAnsi="Arial" w:cs="Arial"/>
          <w:sz w:val="14"/>
          <w:szCs w:val="16"/>
        </w:rPr>
        <w:t>o</w:t>
      </w:r>
      <w:r w:rsidRPr="00514860" w:rsidR="3E8195A6">
        <w:rPr>
          <w:rFonts w:ascii="Arial" w:hAnsi="Arial" w:cs="Arial"/>
          <w:sz w:val="14"/>
          <w:szCs w:val="16"/>
        </w:rPr>
        <w:t xml:space="preserve"> 202</w:t>
      </w:r>
      <w:r w:rsidRPr="00514860" w:rsidR="3F5BD740">
        <w:rPr>
          <w:rFonts w:ascii="Arial" w:hAnsi="Arial" w:cs="Arial"/>
          <w:sz w:val="14"/>
          <w:szCs w:val="16"/>
        </w:rPr>
        <w:t>6</w:t>
      </w:r>
      <w:r w:rsidRPr="00514860" w:rsidR="3E8195A6">
        <w:rPr>
          <w:rFonts w:ascii="Arial" w:hAnsi="Arial" w:cs="Arial"/>
          <w:sz w:val="14"/>
          <w:szCs w:val="16"/>
          <w:lang w:eastAsia="es-CO"/>
        </w:rPr>
        <w:t>.</w:t>
      </w:r>
    </w:p>
    <w:p w:rsidR="00B73675" w:rsidP="00453C78" w:rsidRDefault="00B73675" w14:paraId="1F0E20A0" w14:textId="74C6D986">
      <w:pPr>
        <w:autoSpaceDE w:val="0"/>
        <w:autoSpaceDN w:val="0"/>
        <w:adjustRightInd w:val="0"/>
        <w:jc w:val="both"/>
        <w:rPr>
          <w:rFonts w:ascii="Arial" w:hAnsi="Arial" w:cs="Arial"/>
          <w:sz w:val="16"/>
          <w:szCs w:val="16"/>
          <w:lang w:eastAsia="es-CO"/>
        </w:rPr>
      </w:pPr>
    </w:p>
    <w:p w:rsidRPr="00453C78" w:rsidR="00B73675" w:rsidP="00B73675" w:rsidRDefault="6900BF29" w14:paraId="193CB921" w14:textId="2AA125F6">
      <w:pPr>
        <w:pStyle w:val="Textoindependiente"/>
        <w:tabs>
          <w:tab w:val="left" w:pos="284"/>
        </w:tabs>
      </w:pPr>
      <w:r w:rsidRPr="539F01B6">
        <w:rPr>
          <w:rFonts w:ascii="Arial" w:hAnsi="Arial" w:cs="Arial"/>
          <w:sz w:val="21"/>
          <w:szCs w:val="21"/>
          <w:lang w:val="es-CO"/>
        </w:rPr>
        <w:t>.</w:t>
      </w:r>
    </w:p>
    <w:p w:rsidR="261841DD" w:rsidP="261841DD" w:rsidRDefault="261841DD" w14:paraId="7EECF305" w14:textId="0C8A95A2">
      <w:pPr>
        <w:pStyle w:val="Textoindependiente"/>
        <w:tabs>
          <w:tab w:val="left" w:pos="284"/>
        </w:tabs>
        <w:rPr>
          <w:rFonts w:ascii="Arial" w:hAnsi="Arial" w:cs="Arial"/>
          <w:sz w:val="21"/>
          <w:szCs w:val="21"/>
          <w:lang w:val="es-CO"/>
        </w:rPr>
      </w:pPr>
    </w:p>
    <w:p w:rsidRPr="00514860" w:rsidR="12C93D90" w:rsidP="261841DD" w:rsidRDefault="4B5AAD82" w14:paraId="6DFD3727" w14:textId="0BDDCD41">
      <w:pPr>
        <w:pStyle w:val="Textoindependiente"/>
        <w:tabs>
          <w:tab w:val="left" w:pos="284"/>
        </w:tabs>
        <w:rPr>
          <w:sz w:val="21"/>
          <w:szCs w:val="21"/>
        </w:rPr>
      </w:pPr>
      <w:r w:rsidRPr="00514860">
        <w:rPr>
          <w:rFonts w:ascii="Arial" w:hAnsi="Arial" w:cs="Arial"/>
          <w:sz w:val="21"/>
          <w:szCs w:val="21"/>
          <w:lang w:val="es-CO"/>
        </w:rPr>
        <w:t xml:space="preserve">Teniendo en cuenta la tabla anterior se puede observar que, para la Fabricación de producto </w:t>
      </w:r>
      <w:r w:rsidRPr="00514860" w:rsidR="15FE1C33">
        <w:rPr>
          <w:rFonts w:ascii="Arial" w:hAnsi="Arial" w:cs="Arial"/>
          <w:sz w:val="21"/>
          <w:szCs w:val="21"/>
          <w:lang w:val="es-CO"/>
        </w:rPr>
        <w:t xml:space="preserve">farmacéuticos sustancias </w:t>
      </w:r>
      <w:proofErr w:type="spellStart"/>
      <w:r w:rsidRPr="00514860" w:rsidR="15FE1C33">
        <w:rPr>
          <w:rFonts w:ascii="Arial" w:hAnsi="Arial" w:cs="Arial"/>
          <w:sz w:val="21"/>
          <w:szCs w:val="21"/>
          <w:lang w:val="es-CO"/>
        </w:rPr>
        <w:t>quimicas</w:t>
      </w:r>
      <w:proofErr w:type="spellEnd"/>
      <w:r w:rsidRPr="00514860" w:rsidR="15FE1C33">
        <w:rPr>
          <w:rFonts w:ascii="Arial" w:hAnsi="Arial" w:cs="Arial"/>
          <w:sz w:val="21"/>
          <w:szCs w:val="21"/>
          <w:lang w:val="es-CO"/>
        </w:rPr>
        <w:t xml:space="preserve"> medicinales</w:t>
      </w:r>
      <w:r w:rsidRPr="00514860">
        <w:rPr>
          <w:rFonts w:ascii="Arial" w:hAnsi="Arial" w:cs="Arial"/>
          <w:sz w:val="21"/>
          <w:szCs w:val="21"/>
          <w:lang w:val="es-CO"/>
        </w:rPr>
        <w:t xml:space="preserve">, </w:t>
      </w:r>
      <w:r w:rsidRPr="00514860" w:rsidR="665DA64E">
        <w:rPr>
          <w:rFonts w:ascii="Arial" w:hAnsi="Arial" w:cs="Arial"/>
          <w:sz w:val="21"/>
          <w:szCs w:val="21"/>
          <w:lang w:val="es-CO"/>
        </w:rPr>
        <w:t xml:space="preserve">presenta un desempeño favorable en producción </w:t>
      </w:r>
      <w:r w:rsidR="00273DFC">
        <w:rPr>
          <w:rFonts w:ascii="Arial" w:hAnsi="Arial" w:cs="Arial"/>
          <w:sz w:val="21"/>
          <w:szCs w:val="21"/>
          <w:lang w:val="es-CO"/>
        </w:rPr>
        <w:t>17,1</w:t>
      </w:r>
      <w:r w:rsidRPr="00514860" w:rsidR="665DA64E">
        <w:rPr>
          <w:rFonts w:ascii="Arial" w:hAnsi="Arial" w:cs="Arial"/>
          <w:sz w:val="21"/>
          <w:szCs w:val="21"/>
          <w:lang w:val="es-CO"/>
        </w:rPr>
        <w:t xml:space="preserve">% y contribución positiva, lo que refleja una mayor actividad del sector, no obstante, las ventas registran </w:t>
      </w:r>
      <w:r w:rsidR="00273DFC">
        <w:rPr>
          <w:rFonts w:ascii="Arial" w:hAnsi="Arial" w:cs="Arial"/>
          <w:sz w:val="21"/>
          <w:szCs w:val="21"/>
          <w:lang w:val="es-CO"/>
        </w:rPr>
        <w:t>una mejora</w:t>
      </w:r>
      <w:r w:rsidRPr="00514860" w:rsidR="665DA64E">
        <w:rPr>
          <w:rFonts w:ascii="Arial" w:hAnsi="Arial" w:cs="Arial"/>
          <w:sz w:val="21"/>
          <w:szCs w:val="21"/>
          <w:lang w:val="es-CO"/>
        </w:rPr>
        <w:t xml:space="preserve"> </w:t>
      </w:r>
      <w:r w:rsidR="00273DFC">
        <w:rPr>
          <w:rFonts w:ascii="Arial" w:hAnsi="Arial" w:cs="Arial"/>
          <w:sz w:val="21"/>
          <w:szCs w:val="21"/>
          <w:lang w:val="es-CO"/>
        </w:rPr>
        <w:t xml:space="preserve">del </w:t>
      </w:r>
      <w:r w:rsidRPr="00514860" w:rsidR="665DA64E">
        <w:rPr>
          <w:rFonts w:ascii="Arial" w:hAnsi="Arial" w:cs="Arial"/>
          <w:sz w:val="21"/>
          <w:szCs w:val="21"/>
          <w:lang w:val="es-CO"/>
        </w:rPr>
        <w:t>(</w:t>
      </w:r>
      <w:r w:rsidR="00273DFC">
        <w:rPr>
          <w:rFonts w:ascii="Arial" w:hAnsi="Arial" w:cs="Arial"/>
          <w:sz w:val="21"/>
          <w:szCs w:val="21"/>
          <w:lang w:val="es-CO"/>
        </w:rPr>
        <w:t>9,9</w:t>
      </w:r>
      <w:r w:rsidRPr="00514860" w:rsidR="665DA64E">
        <w:rPr>
          <w:rFonts w:ascii="Arial" w:hAnsi="Arial" w:cs="Arial"/>
          <w:sz w:val="21"/>
          <w:szCs w:val="21"/>
          <w:lang w:val="es-CO"/>
        </w:rPr>
        <w:t xml:space="preserve">%) y el empleo </w:t>
      </w:r>
      <w:r w:rsidR="00273DFC">
        <w:rPr>
          <w:rFonts w:ascii="Arial" w:hAnsi="Arial" w:cs="Arial"/>
          <w:sz w:val="21"/>
          <w:szCs w:val="21"/>
          <w:lang w:val="es-CO"/>
        </w:rPr>
        <w:t>genero una</w:t>
      </w:r>
      <w:r w:rsidRPr="00514860" w:rsidR="665DA64E">
        <w:rPr>
          <w:rFonts w:ascii="Arial" w:hAnsi="Arial" w:cs="Arial"/>
          <w:sz w:val="21"/>
          <w:szCs w:val="21"/>
          <w:lang w:val="es-CO"/>
        </w:rPr>
        <w:t xml:space="preserve"> disminu</w:t>
      </w:r>
      <w:r w:rsidR="00273DFC">
        <w:rPr>
          <w:rFonts w:ascii="Arial" w:hAnsi="Arial" w:cs="Arial"/>
          <w:sz w:val="21"/>
          <w:szCs w:val="21"/>
          <w:lang w:val="es-CO"/>
        </w:rPr>
        <w:t>ción del</w:t>
      </w:r>
      <w:r w:rsidRPr="00514860" w:rsidR="665DA64E">
        <w:rPr>
          <w:rFonts w:ascii="Arial" w:hAnsi="Arial" w:cs="Arial"/>
          <w:sz w:val="21"/>
          <w:szCs w:val="21"/>
          <w:lang w:val="es-CO"/>
        </w:rPr>
        <w:t xml:space="preserve"> (-1,</w:t>
      </w:r>
      <w:r w:rsidR="00273DFC">
        <w:rPr>
          <w:rFonts w:ascii="Arial" w:hAnsi="Arial" w:cs="Arial"/>
          <w:sz w:val="21"/>
          <w:szCs w:val="21"/>
          <w:lang w:val="es-CO"/>
        </w:rPr>
        <w:t>0</w:t>
      </w:r>
      <w:r w:rsidRPr="00514860" w:rsidR="665DA64E">
        <w:rPr>
          <w:rFonts w:ascii="Arial" w:hAnsi="Arial" w:cs="Arial"/>
          <w:sz w:val="21"/>
          <w:szCs w:val="21"/>
          <w:lang w:val="es-CO"/>
        </w:rPr>
        <w:t>%), evidenciando ajustes en el mercado Por el contrario, la fabricación de sustancias químicas básicas y sus productos (CIIU 2010) muestra una contracción significativa, con reducciones tanto en la producción (-</w:t>
      </w:r>
      <w:r w:rsidR="00273DFC">
        <w:rPr>
          <w:rFonts w:ascii="Arial" w:hAnsi="Arial" w:cs="Arial"/>
          <w:sz w:val="21"/>
          <w:szCs w:val="21"/>
          <w:lang w:val="es-CO"/>
        </w:rPr>
        <w:t>9</w:t>
      </w:r>
      <w:r w:rsidRPr="00514860" w:rsidR="665DA64E">
        <w:rPr>
          <w:rFonts w:ascii="Arial" w:hAnsi="Arial" w:cs="Arial"/>
          <w:sz w:val="21"/>
          <w:szCs w:val="21"/>
          <w:lang w:val="es-CO"/>
        </w:rPr>
        <w:t>,</w:t>
      </w:r>
      <w:r w:rsidR="00273DFC">
        <w:rPr>
          <w:rFonts w:ascii="Arial" w:hAnsi="Arial" w:cs="Arial"/>
          <w:sz w:val="21"/>
          <w:szCs w:val="21"/>
          <w:lang w:val="es-CO"/>
        </w:rPr>
        <w:t>1</w:t>
      </w:r>
      <w:r w:rsidRPr="00514860" w:rsidR="665DA64E">
        <w:rPr>
          <w:rFonts w:ascii="Arial" w:hAnsi="Arial" w:cs="Arial"/>
          <w:sz w:val="21"/>
          <w:szCs w:val="21"/>
          <w:lang w:val="es-CO"/>
        </w:rPr>
        <w:t>%) como en las ventas (-</w:t>
      </w:r>
      <w:r w:rsidR="00273DFC">
        <w:rPr>
          <w:rFonts w:ascii="Arial" w:hAnsi="Arial" w:cs="Arial"/>
          <w:sz w:val="21"/>
          <w:szCs w:val="21"/>
          <w:lang w:val="es-CO"/>
        </w:rPr>
        <w:t>3</w:t>
      </w:r>
      <w:r w:rsidRPr="00514860" w:rsidR="665DA64E">
        <w:rPr>
          <w:rFonts w:ascii="Arial" w:hAnsi="Arial" w:cs="Arial"/>
          <w:sz w:val="21"/>
          <w:szCs w:val="21"/>
          <w:lang w:val="es-CO"/>
        </w:rPr>
        <w:t>,</w:t>
      </w:r>
      <w:r w:rsidR="00273DFC">
        <w:rPr>
          <w:rFonts w:ascii="Arial" w:hAnsi="Arial" w:cs="Arial"/>
          <w:sz w:val="21"/>
          <w:szCs w:val="21"/>
          <w:lang w:val="es-CO"/>
        </w:rPr>
        <w:t>9</w:t>
      </w:r>
      <w:r w:rsidRPr="00514860" w:rsidR="665DA64E">
        <w:rPr>
          <w:rFonts w:ascii="Arial" w:hAnsi="Arial" w:cs="Arial"/>
          <w:sz w:val="21"/>
          <w:szCs w:val="21"/>
          <w:lang w:val="es-CO"/>
        </w:rPr>
        <w:t>%), además de una disminución del personal ocupado (-2,</w:t>
      </w:r>
      <w:r w:rsidR="00273DFC">
        <w:rPr>
          <w:rFonts w:ascii="Arial" w:hAnsi="Arial" w:cs="Arial"/>
          <w:sz w:val="21"/>
          <w:szCs w:val="21"/>
          <w:lang w:val="es-CO"/>
        </w:rPr>
        <w:t>7</w:t>
      </w:r>
      <w:r w:rsidRPr="00514860" w:rsidR="665DA64E">
        <w:rPr>
          <w:rFonts w:ascii="Arial" w:hAnsi="Arial" w:cs="Arial"/>
          <w:sz w:val="21"/>
          <w:szCs w:val="21"/>
          <w:lang w:val="es-CO"/>
        </w:rPr>
        <w:t>%), lo que indica un entorno menos dinámico y una menor demanda industrial.</w:t>
      </w:r>
    </w:p>
    <w:p w:rsidRPr="00514860" w:rsidR="12C93D90" w:rsidP="261841DD" w:rsidRDefault="12C93D90" w14:paraId="401AFF9A" w14:textId="62E48084">
      <w:pPr>
        <w:pStyle w:val="Textoindependiente"/>
        <w:tabs>
          <w:tab w:val="left" w:pos="284"/>
        </w:tabs>
        <w:rPr>
          <w:rFonts w:ascii="Arial" w:hAnsi="Arial" w:cs="Arial"/>
          <w:sz w:val="21"/>
          <w:szCs w:val="21"/>
          <w:lang w:val="es-CO"/>
        </w:rPr>
      </w:pPr>
    </w:p>
    <w:p w:rsidRPr="00514860" w:rsidR="261841DD" w:rsidP="261841DD" w:rsidRDefault="261841DD" w14:paraId="0B27CF17" w14:textId="33ED85BF">
      <w:pPr>
        <w:pStyle w:val="Textoindependiente"/>
        <w:tabs>
          <w:tab w:val="left" w:pos="284"/>
        </w:tabs>
        <w:rPr>
          <w:rFonts w:ascii="Arial" w:hAnsi="Arial" w:cs="Arial"/>
          <w:sz w:val="21"/>
          <w:szCs w:val="21"/>
          <w:lang w:val="es-CO"/>
        </w:rPr>
      </w:pPr>
    </w:p>
    <w:p w:rsidRPr="00514860" w:rsidR="001D12AA" w:rsidP="00D86FE0" w:rsidRDefault="007379DA" w14:paraId="7DA7026A" w14:textId="258FC72E">
      <w:pPr>
        <w:pStyle w:val="Textoindependiente"/>
        <w:numPr>
          <w:ilvl w:val="0"/>
          <w:numId w:val="27"/>
        </w:numPr>
        <w:tabs>
          <w:tab w:val="left" w:pos="284"/>
        </w:tabs>
        <w:rPr>
          <w:rFonts w:ascii="Arial" w:hAnsi="Arial" w:cs="Arial"/>
          <w:bCs/>
          <w:sz w:val="21"/>
          <w:szCs w:val="21"/>
          <w:lang w:val="es-CO"/>
        </w:rPr>
      </w:pPr>
      <w:r w:rsidRPr="00514860">
        <w:rPr>
          <w:rFonts w:ascii="Arial" w:hAnsi="Arial" w:cs="Arial"/>
          <w:b/>
          <w:sz w:val="21"/>
          <w:szCs w:val="21"/>
          <w:lang w:val="es-CO"/>
        </w:rPr>
        <w:t>Participación del sector en el PIB</w:t>
      </w:r>
    </w:p>
    <w:p w:rsidRPr="00514860" w:rsidR="007379DA" w:rsidP="00D86FE0" w:rsidRDefault="007379DA" w14:paraId="15D8BE6F" w14:textId="370E5A27">
      <w:pPr>
        <w:pStyle w:val="Textoindependiente"/>
        <w:tabs>
          <w:tab w:val="left" w:pos="284"/>
        </w:tabs>
        <w:ind w:left="502"/>
        <w:rPr>
          <w:rFonts w:ascii="Arial" w:hAnsi="Arial" w:cs="Arial"/>
          <w:bCs/>
          <w:sz w:val="21"/>
          <w:szCs w:val="21"/>
          <w:lang w:val="es-CO"/>
        </w:rPr>
      </w:pPr>
    </w:p>
    <w:p w:rsidRPr="00514860" w:rsidR="007379DA" w:rsidP="1AEB7189" w:rsidRDefault="00962A7E" w14:paraId="3CA55BFD" w14:textId="24D922D1">
      <w:pPr>
        <w:pStyle w:val="Textoindependiente"/>
        <w:tabs>
          <w:tab w:val="left" w:pos="284"/>
        </w:tabs>
        <w:rPr>
          <w:rFonts w:ascii="Arial" w:hAnsi="Arial" w:cs="Arial"/>
          <w:sz w:val="21"/>
          <w:szCs w:val="21"/>
          <w:lang w:val="es-CO"/>
        </w:rPr>
      </w:pPr>
      <w:r w:rsidRPr="0B9B909B">
        <w:rPr>
          <w:rFonts w:ascii="Arial" w:hAnsi="Arial" w:cs="Arial"/>
          <w:sz w:val="21"/>
          <w:szCs w:val="21"/>
          <w:lang w:val="es-CO"/>
        </w:rPr>
        <w:t>De acuerdo con el</w:t>
      </w:r>
      <w:r w:rsidRPr="0B9B909B" w:rsidR="003F691B">
        <w:rPr>
          <w:rFonts w:ascii="Arial" w:hAnsi="Arial" w:cs="Arial"/>
          <w:sz w:val="21"/>
          <w:szCs w:val="21"/>
          <w:lang w:val="es-CO"/>
        </w:rPr>
        <w:t xml:space="preserve"> </w:t>
      </w:r>
      <w:r w:rsidRPr="0B9B909B">
        <w:rPr>
          <w:rFonts w:ascii="Arial" w:hAnsi="Arial" w:cs="Arial"/>
          <w:sz w:val="21"/>
          <w:szCs w:val="21"/>
          <w:lang w:val="es-CO"/>
        </w:rPr>
        <w:t>Boletín</w:t>
      </w:r>
      <w:r w:rsidRPr="0B9B909B" w:rsidR="003F691B">
        <w:rPr>
          <w:rFonts w:ascii="Arial" w:hAnsi="Arial" w:cs="Arial"/>
          <w:sz w:val="21"/>
          <w:szCs w:val="21"/>
          <w:lang w:val="es-CO"/>
        </w:rPr>
        <w:t xml:space="preserve"> </w:t>
      </w:r>
      <w:r w:rsidRPr="0B9B909B">
        <w:rPr>
          <w:rFonts w:ascii="Arial" w:hAnsi="Arial" w:cs="Arial"/>
          <w:sz w:val="21"/>
          <w:szCs w:val="21"/>
          <w:lang w:val="es-CO"/>
        </w:rPr>
        <w:t>Técnico</w:t>
      </w:r>
      <w:r w:rsidRPr="0B9B909B" w:rsidR="003F691B">
        <w:rPr>
          <w:rFonts w:ascii="Arial" w:hAnsi="Arial" w:cs="Arial"/>
          <w:sz w:val="21"/>
          <w:szCs w:val="21"/>
          <w:lang w:val="es-CO"/>
        </w:rPr>
        <w:t xml:space="preserve"> Producto Interno Bruto (PIB) del DANE para el </w:t>
      </w:r>
      <w:r w:rsidRPr="0B9B909B" w:rsidR="06FF6EF6">
        <w:rPr>
          <w:rFonts w:ascii="Arial" w:hAnsi="Arial" w:cs="Arial"/>
          <w:sz w:val="21"/>
          <w:szCs w:val="21"/>
          <w:lang w:val="es-CO"/>
        </w:rPr>
        <w:t>primer</w:t>
      </w:r>
      <w:r w:rsidRPr="0B9B909B" w:rsidR="00017C60">
        <w:rPr>
          <w:rFonts w:ascii="Arial" w:hAnsi="Arial" w:cs="Arial"/>
          <w:sz w:val="21"/>
          <w:szCs w:val="21"/>
          <w:lang w:val="es-CO"/>
        </w:rPr>
        <w:t xml:space="preserve"> </w:t>
      </w:r>
      <w:r w:rsidRPr="0B9B909B">
        <w:rPr>
          <w:rFonts w:ascii="Arial" w:hAnsi="Arial" w:cs="Arial"/>
          <w:sz w:val="21"/>
          <w:szCs w:val="21"/>
          <w:lang w:val="es-CO"/>
        </w:rPr>
        <w:t>trimestre 202</w:t>
      </w:r>
      <w:r w:rsidRPr="0B9B909B" w:rsidR="39D63E34">
        <w:rPr>
          <w:rFonts w:ascii="Arial" w:hAnsi="Arial" w:cs="Arial"/>
          <w:sz w:val="21"/>
          <w:szCs w:val="21"/>
          <w:lang w:val="es-CO"/>
        </w:rPr>
        <w:t>6</w:t>
      </w:r>
      <w:r w:rsidRPr="0B9B909B">
        <w:rPr>
          <w:rFonts w:ascii="Arial" w:hAnsi="Arial" w:cs="Arial"/>
          <w:sz w:val="21"/>
          <w:szCs w:val="21"/>
          <w:lang w:val="es-CO"/>
        </w:rPr>
        <w:t xml:space="preserve"> preliminar, el Producto interno bruto crece</w:t>
      </w:r>
      <w:r w:rsidRPr="0B9B909B" w:rsidR="00897B57">
        <w:rPr>
          <w:rFonts w:ascii="Arial" w:hAnsi="Arial" w:cs="Arial"/>
          <w:sz w:val="21"/>
          <w:szCs w:val="21"/>
          <w:lang w:val="es-CO"/>
        </w:rPr>
        <w:t xml:space="preserve"> 2.</w:t>
      </w:r>
      <w:r w:rsidRPr="0B9B909B" w:rsidR="1704DA32">
        <w:rPr>
          <w:rFonts w:ascii="Arial" w:hAnsi="Arial" w:cs="Arial"/>
          <w:sz w:val="21"/>
          <w:szCs w:val="21"/>
          <w:lang w:val="es-CO"/>
        </w:rPr>
        <w:t>2</w:t>
      </w:r>
      <w:r w:rsidRPr="0B9B909B" w:rsidR="00897B57">
        <w:rPr>
          <w:rFonts w:ascii="Arial" w:hAnsi="Arial" w:cs="Arial"/>
          <w:sz w:val="21"/>
          <w:szCs w:val="21"/>
          <w:lang w:val="es-CO"/>
        </w:rPr>
        <w:t xml:space="preserve"> </w:t>
      </w:r>
      <w:r w:rsidRPr="0B9B909B" w:rsidR="009C4BDA">
        <w:rPr>
          <w:rFonts w:ascii="Arial" w:hAnsi="Arial" w:cs="Arial"/>
          <w:sz w:val="21"/>
          <w:szCs w:val="21"/>
          <w:lang w:val="es-CO"/>
        </w:rPr>
        <w:t>% respecto al mismo periodo de 202</w:t>
      </w:r>
      <w:r w:rsidRPr="0B9B909B" w:rsidR="00E659FD">
        <w:rPr>
          <w:rFonts w:ascii="Arial" w:hAnsi="Arial" w:cs="Arial"/>
          <w:sz w:val="21"/>
          <w:szCs w:val="21"/>
          <w:lang w:val="es-CO"/>
        </w:rPr>
        <w:t>5</w:t>
      </w:r>
      <w:r w:rsidRPr="0B9B909B" w:rsidR="009C4BDA">
        <w:rPr>
          <w:rFonts w:ascii="Arial" w:hAnsi="Arial" w:cs="Arial"/>
          <w:sz w:val="21"/>
          <w:szCs w:val="21"/>
          <w:lang w:val="es-CO"/>
        </w:rPr>
        <w:t>pr</w:t>
      </w:r>
      <w:r w:rsidRPr="0B9B909B">
        <w:rPr>
          <w:rFonts w:ascii="Arial" w:hAnsi="Arial" w:cs="Arial"/>
          <w:sz w:val="21"/>
          <w:szCs w:val="21"/>
          <w:lang w:val="es-CO"/>
        </w:rPr>
        <w:t>.</w:t>
      </w:r>
    </w:p>
    <w:p w:rsidRPr="00514860" w:rsidR="00F10B08" w:rsidP="00514860" w:rsidRDefault="00F10B08" w14:paraId="15E63630" w14:textId="3BB999FE">
      <w:pPr>
        <w:pStyle w:val="Textoindependiente"/>
        <w:tabs>
          <w:tab w:val="left" w:pos="284"/>
        </w:tabs>
        <w:rPr>
          <w:rFonts w:ascii="Arial" w:hAnsi="Arial" w:cs="Arial"/>
          <w:bCs/>
          <w:sz w:val="21"/>
          <w:szCs w:val="21"/>
          <w:lang w:val="es-CO"/>
        </w:rPr>
      </w:pPr>
    </w:p>
    <w:p w:rsidRPr="00514860" w:rsidR="00897B57" w:rsidP="00514860" w:rsidRDefault="00897B57" w14:paraId="412818A5" w14:textId="77777777">
      <w:pPr>
        <w:shd w:val="clear" w:color="auto" w:fill="F7F7F7"/>
        <w:spacing w:before="240" w:after="240"/>
        <w:jc w:val="both"/>
        <w:rPr>
          <w:rFonts w:ascii="Arial" w:hAnsi="Arial" w:cs="Arial"/>
          <w:bCs/>
          <w:sz w:val="21"/>
          <w:szCs w:val="21"/>
          <w:lang w:val="es-CO"/>
        </w:rPr>
      </w:pPr>
      <w:r w:rsidRPr="3588B75B">
        <w:rPr>
          <w:rFonts w:ascii="Arial" w:hAnsi="Arial" w:cs="Arial"/>
          <w:sz w:val="21"/>
          <w:szCs w:val="21"/>
          <w:lang w:val="es-CO"/>
        </w:rPr>
        <w:t>Las actividades económicas que más contribuyen a la dinámica del valor agregado son:</w:t>
      </w:r>
    </w:p>
    <w:p w:rsidR="441B40B1" w:rsidP="3588B75B" w:rsidRDefault="441B40B1" w14:paraId="477245BF" w14:textId="48BF7BB1">
      <w:pPr>
        <w:pStyle w:val="Prrafodelista"/>
        <w:numPr>
          <w:ilvl w:val="0"/>
          <w:numId w:val="46"/>
        </w:numPr>
        <w:shd w:val="clear" w:color="auto" w:fill="F7F7F7"/>
        <w:spacing w:before="240" w:after="240"/>
        <w:jc w:val="both"/>
        <w:rPr>
          <w:rFonts w:ascii="Arial" w:hAnsi="Arial" w:cs="Arial"/>
          <w:sz w:val="21"/>
          <w:szCs w:val="21"/>
          <w:lang w:val="es-CO"/>
        </w:rPr>
      </w:pPr>
      <w:r w:rsidRPr="3588B75B">
        <w:rPr>
          <w:rFonts w:ascii="Arial" w:hAnsi="Arial" w:cs="Arial"/>
          <w:sz w:val="21"/>
          <w:szCs w:val="21"/>
          <w:lang w:val="es-CO"/>
        </w:rPr>
        <w:t>Administración pública y defensa; planes de seguridad social de afiliación obligatoria; Educación; Actividades de atención de la salud humana y de servicios sociales crece 5,7% (contribuye 0,9 puntos porcentuales a la variación anual).</w:t>
      </w:r>
    </w:p>
    <w:p w:rsidR="441B40B1" w:rsidP="3588B75B" w:rsidRDefault="441B40B1" w14:paraId="328062C2" w14:textId="176CEE74">
      <w:pPr>
        <w:pStyle w:val="Prrafodelista"/>
        <w:numPr>
          <w:ilvl w:val="0"/>
          <w:numId w:val="46"/>
        </w:numPr>
        <w:shd w:val="clear" w:color="auto" w:fill="F7F7F7"/>
        <w:spacing w:before="240" w:after="240"/>
        <w:jc w:val="both"/>
        <w:rPr>
          <w:rFonts w:ascii="Arial" w:hAnsi="Arial" w:cs="Arial"/>
          <w:sz w:val="21"/>
          <w:szCs w:val="21"/>
          <w:lang w:val="es-CO"/>
        </w:rPr>
      </w:pPr>
      <w:r w:rsidRPr="3588B75B">
        <w:rPr>
          <w:rFonts w:ascii="Arial" w:hAnsi="Arial" w:cs="Arial"/>
          <w:sz w:val="21"/>
          <w:szCs w:val="21"/>
          <w:lang w:val="es-CO"/>
        </w:rPr>
        <w:t xml:space="preserve">Comercio al por mayor y al por menor; reparación de vehículos automotores y motocicletas; Transporte y almacenamiento; Alojamiento y servicios de comida crece 2,9% (contribuye 0,6 puntos porcentuales a la variación anual). </w:t>
      </w:r>
    </w:p>
    <w:p w:rsidR="441B40B1" w:rsidP="3588B75B" w:rsidRDefault="441B40B1" w14:paraId="1B2877CF" w14:textId="3FE16A49">
      <w:pPr>
        <w:pStyle w:val="Prrafodelista"/>
        <w:numPr>
          <w:ilvl w:val="0"/>
          <w:numId w:val="46"/>
        </w:numPr>
        <w:shd w:val="clear" w:color="auto" w:fill="F7F7F7"/>
        <w:spacing w:before="240" w:after="240"/>
        <w:jc w:val="both"/>
      </w:pPr>
      <w:r w:rsidRPr="3588B75B">
        <w:rPr>
          <w:rFonts w:ascii="Arial" w:hAnsi="Arial" w:cs="Arial"/>
          <w:sz w:val="21"/>
          <w:szCs w:val="21"/>
          <w:lang w:val="es-CO"/>
        </w:rPr>
        <w:t>Industrias manufactureras crece 2,9% (contribuye 0,3 puntos porcentuales a la variación anual).</w:t>
      </w:r>
    </w:p>
    <w:p w:rsidRPr="00514860" w:rsidR="00897B57" w:rsidP="1AEB7189" w:rsidRDefault="00897B57" w14:paraId="71E1642A" w14:textId="3F306EBC">
      <w:pPr>
        <w:shd w:val="clear" w:color="auto" w:fill="F7F7F7"/>
        <w:spacing w:before="240" w:after="240"/>
        <w:jc w:val="both"/>
        <w:rPr>
          <w:rFonts w:ascii="Arial" w:hAnsi="Arial" w:cs="Arial"/>
          <w:sz w:val="21"/>
          <w:szCs w:val="21"/>
          <w:lang w:val="es-CO"/>
        </w:rPr>
      </w:pPr>
      <w:r w:rsidRPr="0B9B909B">
        <w:rPr>
          <w:rFonts w:ascii="Arial" w:hAnsi="Arial" w:cs="Arial"/>
          <w:sz w:val="21"/>
          <w:szCs w:val="21"/>
          <w:lang w:val="es-CO"/>
        </w:rPr>
        <w:t>En lo corrido del año 202</w:t>
      </w:r>
      <w:r w:rsidRPr="0B9B909B" w:rsidR="2B32E41A">
        <w:rPr>
          <w:rFonts w:ascii="Arial" w:hAnsi="Arial" w:cs="Arial"/>
          <w:sz w:val="21"/>
          <w:szCs w:val="21"/>
          <w:lang w:val="es-CO"/>
        </w:rPr>
        <w:t>6</w:t>
      </w:r>
      <w:r w:rsidRPr="0B9B909B">
        <w:rPr>
          <w:rFonts w:ascii="Arial" w:hAnsi="Arial" w:cs="Arial"/>
          <w:sz w:val="21"/>
          <w:szCs w:val="21"/>
          <w:lang w:val="es-CO"/>
        </w:rPr>
        <w:t xml:space="preserve">pr, respecto al mismo periodo del año anterior, el Producto Interno Bruto presenta un crecimiento de </w:t>
      </w:r>
      <w:r w:rsidRPr="0B9B909B" w:rsidR="6C927F2C">
        <w:rPr>
          <w:rFonts w:ascii="Arial" w:hAnsi="Arial" w:cs="Arial"/>
          <w:sz w:val="21"/>
          <w:szCs w:val="21"/>
          <w:lang w:val="es-CO"/>
        </w:rPr>
        <w:t>0.6</w:t>
      </w:r>
      <w:r w:rsidRPr="0B9B909B">
        <w:rPr>
          <w:rFonts w:ascii="Arial" w:hAnsi="Arial" w:cs="Arial"/>
          <w:sz w:val="21"/>
          <w:szCs w:val="21"/>
          <w:lang w:val="es-CO"/>
        </w:rPr>
        <w:t>%. Las actividades económicas que más contribuyen a la dinámica del valor agregado son:</w:t>
      </w:r>
    </w:p>
    <w:p w:rsidR="7AED9C8B" w:rsidP="3588B75B" w:rsidRDefault="7AED9C8B" w14:paraId="047C86CF" w14:textId="560E0CD8">
      <w:pPr>
        <w:pStyle w:val="Textoindependiente"/>
        <w:numPr>
          <w:ilvl w:val="0"/>
          <w:numId w:val="2"/>
        </w:numPr>
        <w:tabs>
          <w:tab w:val="left" w:pos="284"/>
        </w:tabs>
        <w:rPr>
          <w:rFonts w:ascii="Arial" w:hAnsi="Arial" w:cs="Arial"/>
          <w:sz w:val="21"/>
          <w:szCs w:val="21"/>
          <w:lang w:val="es-CO"/>
        </w:rPr>
      </w:pPr>
      <w:r w:rsidRPr="3588B75B">
        <w:rPr>
          <w:rFonts w:ascii="Arial" w:hAnsi="Arial" w:cs="Arial"/>
          <w:sz w:val="21"/>
          <w:szCs w:val="21"/>
          <w:lang w:val="es-CO"/>
        </w:rPr>
        <w:t xml:space="preserve">Industrias manufactureras crece 2,3%. </w:t>
      </w:r>
    </w:p>
    <w:p w:rsidR="3588B75B" w:rsidP="3588B75B" w:rsidRDefault="3588B75B" w14:paraId="620EF53F" w14:textId="45683372">
      <w:pPr>
        <w:pStyle w:val="Textoindependiente"/>
        <w:tabs>
          <w:tab w:val="left" w:pos="284"/>
        </w:tabs>
        <w:ind w:left="720"/>
        <w:rPr>
          <w:rFonts w:ascii="Arial" w:hAnsi="Arial" w:cs="Arial"/>
          <w:sz w:val="21"/>
          <w:szCs w:val="21"/>
          <w:lang w:val="es-CO"/>
        </w:rPr>
      </w:pPr>
    </w:p>
    <w:p w:rsidR="7AED9C8B" w:rsidP="3588B75B" w:rsidRDefault="7AED9C8B" w14:paraId="36DC2241" w14:textId="76D1356C">
      <w:pPr>
        <w:pStyle w:val="Textoindependiente"/>
        <w:numPr>
          <w:ilvl w:val="0"/>
          <w:numId w:val="2"/>
        </w:numPr>
        <w:tabs>
          <w:tab w:val="left" w:pos="284"/>
        </w:tabs>
        <w:rPr>
          <w:rFonts w:ascii="Arial" w:hAnsi="Arial" w:cs="Arial"/>
          <w:sz w:val="21"/>
          <w:szCs w:val="21"/>
          <w:lang w:val="es-CO"/>
        </w:rPr>
      </w:pPr>
      <w:r w:rsidRPr="3588B75B">
        <w:rPr>
          <w:rFonts w:ascii="Arial" w:hAnsi="Arial" w:cs="Arial"/>
          <w:sz w:val="21"/>
          <w:szCs w:val="21"/>
          <w:lang w:val="es-CO"/>
        </w:rPr>
        <w:t xml:space="preserve">Actividades financieras y de seguros crece 2,2%. </w:t>
      </w:r>
    </w:p>
    <w:p w:rsidR="3588B75B" w:rsidP="3588B75B" w:rsidRDefault="3588B75B" w14:paraId="35962646" w14:textId="700EFA93">
      <w:pPr>
        <w:pStyle w:val="Textoindependiente"/>
        <w:tabs>
          <w:tab w:val="left" w:pos="284"/>
        </w:tabs>
        <w:ind w:left="720"/>
        <w:rPr>
          <w:rFonts w:ascii="Arial" w:hAnsi="Arial" w:cs="Arial"/>
          <w:sz w:val="21"/>
          <w:szCs w:val="21"/>
          <w:lang w:val="es-CO"/>
        </w:rPr>
      </w:pPr>
    </w:p>
    <w:p w:rsidR="7AED9C8B" w:rsidP="3588B75B" w:rsidRDefault="7AED9C8B" w14:paraId="6E180732" w14:textId="20A51BD6">
      <w:pPr>
        <w:pStyle w:val="Textoindependiente"/>
        <w:numPr>
          <w:ilvl w:val="0"/>
          <w:numId w:val="2"/>
        </w:numPr>
        <w:tabs>
          <w:tab w:val="left" w:pos="284"/>
        </w:tabs>
        <w:rPr>
          <w:rFonts w:ascii="Arial" w:hAnsi="Arial" w:cs="Arial"/>
          <w:sz w:val="21"/>
          <w:szCs w:val="21"/>
          <w:lang w:val="es-CO"/>
        </w:rPr>
      </w:pPr>
      <w:r w:rsidRPr="3588B75B">
        <w:rPr>
          <w:rFonts w:ascii="Arial" w:hAnsi="Arial" w:cs="Arial"/>
          <w:sz w:val="21"/>
          <w:szCs w:val="21"/>
          <w:lang w:val="es-CO"/>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1,4%.</w:t>
      </w:r>
    </w:p>
    <w:p w:rsidR="00897B57" w:rsidP="00D86FE0" w:rsidRDefault="00897B57" w14:paraId="4DFC1A3E" w14:textId="77777777">
      <w:pPr>
        <w:pStyle w:val="Textoindependiente"/>
        <w:tabs>
          <w:tab w:val="left" w:pos="284"/>
        </w:tabs>
        <w:rPr>
          <w:rFonts w:ascii="Arial" w:hAnsi="Arial" w:cs="Arial"/>
          <w:bCs/>
          <w:sz w:val="21"/>
          <w:szCs w:val="21"/>
          <w:highlight w:val="yellow"/>
          <w:lang w:val="es-CO"/>
        </w:rPr>
      </w:pPr>
    </w:p>
    <w:p w:rsidR="00453C78" w:rsidP="1175CB8B" w:rsidRDefault="00453C78" w14:paraId="1456FD06" w14:textId="6BDF98B6">
      <w:pPr>
        <w:pStyle w:val="Textoindependiente"/>
        <w:tabs>
          <w:tab w:val="left" w:pos="284"/>
        </w:tabs>
        <w:rPr>
          <w:rFonts w:ascii="Arial" w:hAnsi="Arial" w:cs="Arial"/>
          <w:sz w:val="14"/>
          <w:szCs w:val="14"/>
          <w:lang w:eastAsia="es-CO"/>
        </w:rPr>
      </w:pPr>
      <w:r w:rsidRPr="3588B75B">
        <w:rPr>
          <w:rFonts w:ascii="Arial" w:hAnsi="Arial" w:cs="Arial"/>
          <w:sz w:val="14"/>
          <w:szCs w:val="14"/>
          <w:lang w:eastAsia="es-CO"/>
        </w:rPr>
        <w:t xml:space="preserve">Fuente: </w:t>
      </w:r>
      <w:r w:rsidRPr="3588B75B" w:rsidR="7FBD9F56">
        <w:rPr>
          <w:rFonts w:ascii="Arial" w:hAnsi="Arial" w:cs="Arial"/>
          <w:sz w:val="14"/>
          <w:szCs w:val="14"/>
          <w:lang w:eastAsia="es-CO"/>
        </w:rPr>
        <w:t>2DANE, Boletín Técnico Producto Interno Bruto (PIB) I trimestre 202</w:t>
      </w:r>
      <w:r w:rsidRPr="3588B75B" w:rsidR="3469AE1A">
        <w:rPr>
          <w:rFonts w:ascii="Arial" w:hAnsi="Arial" w:cs="Arial"/>
          <w:sz w:val="14"/>
          <w:szCs w:val="14"/>
          <w:lang w:eastAsia="es-CO"/>
        </w:rPr>
        <w:t>6</w:t>
      </w:r>
      <w:r w:rsidRPr="3588B75B" w:rsidR="7FBD9F56">
        <w:rPr>
          <w:rFonts w:ascii="Arial" w:hAnsi="Arial" w:cs="Arial"/>
          <w:sz w:val="14"/>
          <w:szCs w:val="14"/>
          <w:lang w:eastAsia="es-CO"/>
        </w:rPr>
        <w:t xml:space="preserve">p: </w:t>
      </w:r>
      <w:hyperlink r:id="rId14">
        <w:r w:rsidRPr="3588B75B" w:rsidR="0004455D">
          <w:rPr>
            <w:rStyle w:val="Hipervnculo"/>
            <w:rFonts w:ascii="Arial" w:hAnsi="Arial" w:cs="Arial"/>
            <w:sz w:val="14"/>
            <w:szCs w:val="14"/>
            <w:lang w:eastAsia="es-CO"/>
          </w:rPr>
          <w:t>https://www.dane.gov.co/index.php/estadisticas-por-tema/cuentas-nacionales/cuentas-nacionales-trimestrales/pib-informacion-tecnica</w:t>
        </w:r>
        <w:r w:rsidRPr="3588B75B" w:rsidR="7FBD9F56">
          <w:rPr>
            <w:rStyle w:val="Hipervnculo"/>
            <w:rFonts w:ascii="Arial" w:hAnsi="Arial" w:cs="Arial"/>
            <w:sz w:val="14"/>
            <w:szCs w:val="14"/>
            <w:lang w:eastAsia="es-CO"/>
          </w:rPr>
          <w:t>.</w:t>
        </w:r>
      </w:hyperlink>
      <w:r w:rsidRPr="3588B75B" w:rsidR="7FBD9F56">
        <w:rPr>
          <w:rFonts w:ascii="Arial" w:hAnsi="Arial" w:cs="Arial"/>
          <w:sz w:val="14"/>
          <w:szCs w:val="14"/>
          <w:lang w:eastAsia="es-CO"/>
        </w:rPr>
        <w:t xml:space="preserve"> Fecha de consulta: </w:t>
      </w:r>
      <w:r w:rsidR="007415C5">
        <w:rPr>
          <w:rFonts w:ascii="Arial" w:hAnsi="Arial" w:cs="Arial"/>
          <w:sz w:val="14"/>
          <w:szCs w:val="14"/>
          <w:lang w:eastAsia="es-CO"/>
        </w:rPr>
        <w:t>10</w:t>
      </w:r>
      <w:r w:rsidRPr="3588B75B" w:rsidR="7FBD9F56">
        <w:rPr>
          <w:rFonts w:ascii="Arial" w:hAnsi="Arial" w:cs="Arial"/>
          <w:sz w:val="14"/>
          <w:szCs w:val="14"/>
          <w:lang w:eastAsia="es-CO"/>
        </w:rPr>
        <w:t xml:space="preserve"> de </w:t>
      </w:r>
      <w:r w:rsidR="007415C5">
        <w:rPr>
          <w:rFonts w:ascii="Arial" w:hAnsi="Arial" w:cs="Arial"/>
          <w:sz w:val="14"/>
          <w:szCs w:val="14"/>
          <w:lang w:eastAsia="es-CO"/>
        </w:rPr>
        <w:t>juni</w:t>
      </w:r>
      <w:r w:rsidRPr="3588B75B" w:rsidR="0004455D">
        <w:rPr>
          <w:rFonts w:ascii="Arial" w:hAnsi="Arial" w:cs="Arial"/>
          <w:sz w:val="14"/>
          <w:szCs w:val="14"/>
          <w:lang w:eastAsia="es-CO"/>
        </w:rPr>
        <w:t>o</w:t>
      </w:r>
      <w:r w:rsidRPr="3588B75B" w:rsidR="7FBD9F56">
        <w:rPr>
          <w:rFonts w:ascii="Arial" w:hAnsi="Arial" w:cs="Arial"/>
          <w:sz w:val="14"/>
          <w:szCs w:val="14"/>
          <w:lang w:eastAsia="es-CO"/>
        </w:rPr>
        <w:t xml:space="preserve"> de 202</w:t>
      </w:r>
      <w:r w:rsidRPr="3588B75B" w:rsidR="0004455D">
        <w:rPr>
          <w:rFonts w:ascii="Arial" w:hAnsi="Arial" w:cs="Arial"/>
          <w:sz w:val="14"/>
          <w:szCs w:val="14"/>
          <w:lang w:eastAsia="es-CO"/>
        </w:rPr>
        <w:t>6</w:t>
      </w:r>
      <w:r w:rsidRPr="3588B75B" w:rsidR="7FBD9F56">
        <w:rPr>
          <w:rFonts w:ascii="Arial" w:hAnsi="Arial" w:cs="Arial"/>
          <w:sz w:val="14"/>
          <w:szCs w:val="14"/>
          <w:lang w:eastAsia="es-CO"/>
        </w:rPr>
        <w:t xml:space="preserve">.  </w:t>
      </w:r>
    </w:p>
    <w:p w:rsidR="000871CC" w:rsidP="1175CB8B" w:rsidRDefault="000871CC" w14:paraId="223FDF41" w14:textId="3FE0FC33">
      <w:pPr>
        <w:pStyle w:val="Textoindependiente"/>
        <w:tabs>
          <w:tab w:val="left" w:pos="284"/>
        </w:tabs>
        <w:rPr>
          <w:rFonts w:ascii="Arial" w:hAnsi="Arial" w:cs="Arial"/>
          <w:sz w:val="14"/>
          <w:szCs w:val="14"/>
          <w:lang w:eastAsia="es-CO"/>
        </w:rPr>
      </w:pPr>
    </w:p>
    <w:p w:rsidR="000871CC" w:rsidP="1175CB8B" w:rsidRDefault="000871CC" w14:paraId="3537FDBE" w14:textId="2E2FBAD7">
      <w:pPr>
        <w:pStyle w:val="Textoindependiente"/>
        <w:tabs>
          <w:tab w:val="left" w:pos="284"/>
        </w:tabs>
        <w:rPr>
          <w:rFonts w:ascii="Arial" w:hAnsi="Arial" w:cs="Arial"/>
          <w:sz w:val="14"/>
          <w:szCs w:val="14"/>
          <w:lang w:eastAsia="es-CO"/>
        </w:rPr>
      </w:pPr>
    </w:p>
    <w:p w:rsidR="000871CC" w:rsidP="1175CB8B" w:rsidRDefault="000871CC" w14:paraId="781F904F" w14:textId="73E135C4">
      <w:pPr>
        <w:pStyle w:val="Textoindependiente"/>
        <w:tabs>
          <w:tab w:val="left" w:pos="284"/>
        </w:tabs>
        <w:rPr>
          <w:rFonts w:ascii="Arial" w:hAnsi="Arial" w:cs="Arial"/>
          <w:sz w:val="14"/>
          <w:szCs w:val="14"/>
          <w:lang w:eastAsia="es-CO"/>
        </w:rPr>
      </w:pPr>
    </w:p>
    <w:p w:rsidR="5AFEBD85" w:rsidP="5AFEBD85" w:rsidRDefault="5AFEBD85" w14:paraId="45D2945D" w14:textId="395E5AD1">
      <w:pPr>
        <w:pStyle w:val="Textoindependiente"/>
        <w:tabs>
          <w:tab w:val="left" w:pos="284"/>
        </w:tabs>
        <w:rPr>
          <w:rFonts w:ascii="Arial" w:hAnsi="Arial" w:cs="Arial"/>
          <w:sz w:val="14"/>
          <w:szCs w:val="14"/>
          <w:lang w:eastAsia="es-CO"/>
        </w:rPr>
      </w:pPr>
    </w:p>
    <w:p w:rsidR="007466B2" w:rsidP="5AFEBD85" w:rsidRDefault="007466B2" w14:paraId="68415758" w14:textId="4EECE32E">
      <w:pPr>
        <w:pStyle w:val="Textoindependiente"/>
        <w:tabs>
          <w:tab w:val="left" w:pos="284"/>
        </w:tabs>
        <w:rPr>
          <w:rFonts w:ascii="Arial" w:hAnsi="Arial" w:cs="Arial"/>
          <w:sz w:val="21"/>
          <w:szCs w:val="21"/>
          <w:lang w:val="es-CO"/>
        </w:rPr>
      </w:pPr>
      <w:r w:rsidRPr="5AFEBD85">
        <w:rPr>
          <w:rFonts w:ascii="Arial" w:hAnsi="Arial" w:cs="Arial"/>
          <w:sz w:val="21"/>
          <w:szCs w:val="21"/>
          <w:lang w:val="es-CO"/>
        </w:rPr>
        <w:t xml:space="preserve">Tabla </w:t>
      </w:r>
      <w:r w:rsidRPr="5AFEBD85" w:rsidR="005C35B8">
        <w:rPr>
          <w:rFonts w:ascii="Arial" w:hAnsi="Arial" w:cs="Arial"/>
          <w:sz w:val="21"/>
          <w:szCs w:val="21"/>
          <w:lang w:val="es-CO"/>
        </w:rPr>
        <w:t>2</w:t>
      </w:r>
      <w:r w:rsidRPr="5AFEBD85" w:rsidR="27236344">
        <w:rPr>
          <w:rFonts w:ascii="Arial" w:hAnsi="Arial" w:cs="Arial"/>
          <w:sz w:val="21"/>
          <w:szCs w:val="21"/>
          <w:lang w:val="es-CO"/>
        </w:rPr>
        <w:t xml:space="preserve"> del Sector.</w:t>
      </w:r>
    </w:p>
    <w:p w:rsidR="00897B57" w:rsidP="00D86FE0" w:rsidRDefault="00897B57" w14:paraId="09F0BD66" w14:textId="101799F3">
      <w:pPr>
        <w:pStyle w:val="Textoindependiente"/>
        <w:tabs>
          <w:tab w:val="left" w:pos="284"/>
        </w:tabs>
        <w:rPr>
          <w:rFonts w:ascii="Arial" w:hAnsi="Arial" w:cs="Arial"/>
          <w:bCs/>
          <w:sz w:val="21"/>
          <w:szCs w:val="21"/>
          <w:lang w:val="es-CO"/>
        </w:rPr>
      </w:pPr>
    </w:p>
    <w:p w:rsidR="00897B57" w:rsidP="00D86FE0" w:rsidRDefault="7E878D87" w14:paraId="7479CC3A" w14:textId="2B4EECF7">
      <w:pPr>
        <w:pStyle w:val="Textoindependiente"/>
        <w:tabs>
          <w:tab w:val="left" w:pos="284"/>
        </w:tabs>
      </w:pPr>
      <w:r>
        <w:rPr>
          <w:noProof/>
          <w:lang w:val="es-CO" w:eastAsia="es-CO"/>
        </w:rPr>
        <w:drawing>
          <wp:inline distT="0" distB="0" distL="0" distR="0" wp14:anchorId="1638BE89" wp14:editId="73DD7823">
            <wp:extent cx="5038725" cy="5019675"/>
            <wp:effectExtent l="0" t="0" r="0" b="0"/>
            <wp:docPr id="155168747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7471" name="Picture 1551687471"/>
                    <pic:cNvPicPr/>
                  </pic:nvPicPr>
                  <pic:blipFill>
                    <a:blip r:embed="rId15">
                      <a:extLst>
                        <a:ext uri="{28A0092B-C50C-407E-A947-70E740481C1C}">
                          <a14:useLocalDpi xmlns:a14="http://schemas.microsoft.com/office/drawing/2010/main"/>
                        </a:ext>
                      </a:extLst>
                    </a:blip>
                    <a:stretch>
                      <a:fillRect/>
                    </a:stretch>
                  </pic:blipFill>
                  <pic:spPr>
                    <a:xfrm>
                      <a:off x="0" y="0"/>
                      <a:ext cx="5038725" cy="5019675"/>
                    </a:xfrm>
                    <a:prstGeom prst="rect">
                      <a:avLst/>
                    </a:prstGeom>
                  </pic:spPr>
                </pic:pic>
              </a:graphicData>
            </a:graphic>
          </wp:inline>
        </w:drawing>
      </w:r>
    </w:p>
    <w:p w:rsidR="00897B57" w:rsidP="00D86FE0" w:rsidRDefault="00897B57" w14:paraId="08375B0C" w14:textId="5A1F5B83">
      <w:pPr>
        <w:pStyle w:val="Textoindependiente"/>
        <w:tabs>
          <w:tab w:val="left" w:pos="284"/>
        </w:tabs>
        <w:rPr>
          <w:rFonts w:ascii="Arial" w:hAnsi="Arial" w:cs="Arial"/>
          <w:bCs/>
          <w:sz w:val="21"/>
          <w:szCs w:val="21"/>
          <w:lang w:val="es-CO"/>
        </w:rPr>
      </w:pPr>
      <w:r>
        <w:rPr>
          <w:rFonts w:ascii="Arial" w:hAnsi="Arial" w:cs="Arial"/>
          <w:bCs/>
          <w:sz w:val="21"/>
          <w:szCs w:val="21"/>
          <w:lang w:val="es-CO"/>
        </w:rPr>
        <w:t xml:space="preserve"> </w:t>
      </w:r>
    </w:p>
    <w:p w:rsidR="00897B57" w:rsidP="1175CB8B" w:rsidRDefault="00897B57" w14:paraId="5F076D40" w14:textId="1986CE6D">
      <w:pPr>
        <w:pStyle w:val="Textoindependiente"/>
        <w:tabs>
          <w:tab w:val="left" w:pos="284"/>
        </w:tabs>
        <w:rPr>
          <w:rFonts w:ascii="Arial" w:hAnsi="Arial" w:cs="Arial"/>
          <w:sz w:val="14"/>
          <w:szCs w:val="14"/>
        </w:rPr>
      </w:pPr>
      <w:r w:rsidRPr="1175CB8B">
        <w:rPr>
          <w:rFonts w:ascii="Arial" w:hAnsi="Arial" w:cs="Arial"/>
          <w:sz w:val="14"/>
          <w:szCs w:val="14"/>
          <w:lang w:eastAsia="es-CO"/>
        </w:rPr>
        <w:t xml:space="preserve">Fuente: </w:t>
      </w:r>
      <w:r w:rsidRPr="1175CB8B" w:rsidR="3D230EB7">
        <w:rPr>
          <w:rFonts w:ascii="Arial" w:hAnsi="Arial" w:cs="Arial"/>
          <w:sz w:val="14"/>
          <w:szCs w:val="14"/>
          <w:lang w:eastAsia="es-CO"/>
        </w:rPr>
        <w:t>2DANE, Boletín Técnico Producto Interno Bruto (PIB) IV trimestre 202</w:t>
      </w:r>
      <w:r w:rsidR="000871CC">
        <w:rPr>
          <w:rFonts w:ascii="Arial" w:hAnsi="Arial" w:cs="Arial"/>
          <w:sz w:val="14"/>
          <w:szCs w:val="14"/>
          <w:lang w:eastAsia="es-CO"/>
        </w:rPr>
        <w:t>5</w:t>
      </w:r>
      <w:r w:rsidRPr="1175CB8B" w:rsidR="3D230EB7">
        <w:rPr>
          <w:rFonts w:ascii="Arial" w:hAnsi="Arial" w:cs="Arial"/>
          <w:sz w:val="14"/>
          <w:szCs w:val="14"/>
          <w:lang w:eastAsia="es-CO"/>
        </w:rPr>
        <w:t xml:space="preserve">p: </w:t>
      </w:r>
      <w:r w:rsidRPr="000871CC" w:rsidR="000871CC">
        <w:rPr>
          <w:rFonts w:ascii="Arial" w:hAnsi="Arial" w:cs="Arial"/>
          <w:sz w:val="14"/>
          <w:szCs w:val="14"/>
          <w:lang w:eastAsia="es-CO"/>
        </w:rPr>
        <w:t>https://www.dane.gov.co/files/operaciones/PIB/bol-PIB-IVtrim2025.pdf</w:t>
      </w:r>
      <w:r w:rsidRPr="1175CB8B" w:rsidR="3D230EB7">
        <w:rPr>
          <w:rFonts w:ascii="Arial" w:hAnsi="Arial" w:cs="Arial"/>
          <w:sz w:val="14"/>
          <w:szCs w:val="14"/>
          <w:lang w:eastAsia="es-CO"/>
        </w:rPr>
        <w:t xml:space="preserve"> Fecha de consulta: </w:t>
      </w:r>
      <w:r w:rsidR="00E442F7">
        <w:rPr>
          <w:rFonts w:ascii="Arial" w:hAnsi="Arial" w:cs="Arial"/>
          <w:sz w:val="14"/>
          <w:szCs w:val="14"/>
          <w:lang w:eastAsia="es-CO"/>
        </w:rPr>
        <w:t>10</w:t>
      </w:r>
      <w:r w:rsidR="00BE0F3D">
        <w:rPr>
          <w:rFonts w:ascii="Arial" w:hAnsi="Arial" w:cs="Arial"/>
          <w:sz w:val="14"/>
          <w:szCs w:val="14"/>
          <w:lang w:eastAsia="es-CO"/>
        </w:rPr>
        <w:t xml:space="preserve"> </w:t>
      </w:r>
      <w:r w:rsidRPr="1175CB8B" w:rsidR="3D230EB7">
        <w:rPr>
          <w:rFonts w:ascii="Arial" w:hAnsi="Arial" w:cs="Arial"/>
          <w:sz w:val="14"/>
          <w:szCs w:val="14"/>
          <w:lang w:eastAsia="es-CO"/>
        </w:rPr>
        <w:t xml:space="preserve">de </w:t>
      </w:r>
      <w:r w:rsidR="00E442F7">
        <w:rPr>
          <w:rFonts w:ascii="Arial" w:hAnsi="Arial" w:cs="Arial"/>
          <w:sz w:val="14"/>
          <w:szCs w:val="14"/>
          <w:lang w:eastAsia="es-CO"/>
        </w:rPr>
        <w:t>juni</w:t>
      </w:r>
      <w:r w:rsidR="00BE0F3D">
        <w:rPr>
          <w:rFonts w:ascii="Arial" w:hAnsi="Arial" w:cs="Arial"/>
          <w:sz w:val="14"/>
          <w:szCs w:val="14"/>
          <w:lang w:eastAsia="es-CO"/>
        </w:rPr>
        <w:t>o</w:t>
      </w:r>
      <w:r w:rsidRPr="1175CB8B" w:rsidR="3D230EB7">
        <w:rPr>
          <w:rFonts w:ascii="Arial" w:hAnsi="Arial" w:cs="Arial"/>
          <w:sz w:val="14"/>
          <w:szCs w:val="14"/>
          <w:lang w:eastAsia="es-CO"/>
        </w:rPr>
        <w:t xml:space="preserve"> de 202</w:t>
      </w:r>
      <w:r w:rsidR="000871CC">
        <w:rPr>
          <w:rFonts w:ascii="Arial" w:hAnsi="Arial" w:cs="Arial"/>
          <w:sz w:val="14"/>
          <w:szCs w:val="14"/>
          <w:lang w:eastAsia="es-CO"/>
        </w:rPr>
        <w:t>6</w:t>
      </w:r>
      <w:r w:rsidRPr="1175CB8B" w:rsidR="3D230EB7">
        <w:rPr>
          <w:rFonts w:ascii="Arial" w:hAnsi="Arial" w:cs="Arial"/>
          <w:sz w:val="14"/>
          <w:szCs w:val="14"/>
          <w:lang w:eastAsia="es-CO"/>
        </w:rPr>
        <w:t xml:space="preserve">.  </w:t>
      </w:r>
    </w:p>
    <w:p w:rsidR="00897B57" w:rsidP="00D86FE0" w:rsidRDefault="00897B57" w14:paraId="000688B6" w14:textId="3925F6C5">
      <w:pPr>
        <w:pStyle w:val="Textoindependiente"/>
        <w:tabs>
          <w:tab w:val="left" w:pos="284"/>
        </w:tabs>
        <w:rPr>
          <w:rFonts w:ascii="Arial" w:hAnsi="Arial" w:cs="Arial"/>
          <w:bCs/>
          <w:sz w:val="21"/>
          <w:szCs w:val="21"/>
          <w:lang w:val="es-CO"/>
        </w:rPr>
      </w:pPr>
    </w:p>
    <w:p w:rsidRPr="003D0ADA" w:rsidR="00897B57" w:rsidP="222312A2" w:rsidRDefault="11C25311" w14:paraId="37BDF661" w14:textId="608B1936">
      <w:pPr>
        <w:pStyle w:val="Textoindependiente"/>
        <w:tabs>
          <w:tab w:val="left" w:pos="0"/>
        </w:tabs>
        <w:rPr>
          <w:rFonts w:ascii="Arial" w:hAnsi="Arial" w:cs="Arial"/>
          <w:sz w:val="21"/>
          <w:szCs w:val="21"/>
          <w:lang w:val="es-CO"/>
        </w:rPr>
      </w:pPr>
      <w:r w:rsidRPr="3588B75B">
        <w:rPr>
          <w:rFonts w:ascii="Arial" w:hAnsi="Arial" w:cs="Arial"/>
          <w:sz w:val="21"/>
          <w:szCs w:val="21"/>
          <w:lang w:val="es-CO"/>
        </w:rPr>
        <w:t xml:space="preserve">Se observa en la tabla que para la actividad económica de industria manufacturera presenta una tasa anual creciente del </w:t>
      </w:r>
      <w:r w:rsidRPr="3588B75B" w:rsidR="40C723C3">
        <w:rPr>
          <w:rFonts w:ascii="Arial" w:hAnsi="Arial" w:cs="Arial"/>
          <w:sz w:val="21"/>
          <w:szCs w:val="21"/>
          <w:lang w:val="es-CO"/>
        </w:rPr>
        <w:t>2,9</w:t>
      </w:r>
      <w:r w:rsidRPr="3588B75B">
        <w:rPr>
          <w:rFonts w:ascii="Arial" w:hAnsi="Arial" w:cs="Arial"/>
          <w:sz w:val="21"/>
          <w:szCs w:val="21"/>
          <w:lang w:val="es-CO"/>
        </w:rPr>
        <w:t xml:space="preserve">% y trimestral del </w:t>
      </w:r>
      <w:r w:rsidRPr="3588B75B" w:rsidR="2680AA56">
        <w:rPr>
          <w:rFonts w:ascii="Arial" w:hAnsi="Arial" w:cs="Arial"/>
          <w:sz w:val="21"/>
          <w:szCs w:val="21"/>
          <w:lang w:val="es-CO"/>
        </w:rPr>
        <w:t>2.3</w:t>
      </w:r>
      <w:r w:rsidRPr="3588B75B">
        <w:rPr>
          <w:rFonts w:ascii="Arial" w:hAnsi="Arial" w:cs="Arial"/>
          <w:sz w:val="21"/>
          <w:szCs w:val="21"/>
          <w:lang w:val="es-CO"/>
        </w:rPr>
        <w:t>% entre 202</w:t>
      </w:r>
      <w:r w:rsidRPr="3588B75B" w:rsidR="783313B4">
        <w:rPr>
          <w:rFonts w:ascii="Arial" w:hAnsi="Arial" w:cs="Arial"/>
          <w:sz w:val="21"/>
          <w:szCs w:val="21"/>
          <w:lang w:val="es-CO"/>
        </w:rPr>
        <w:t>5</w:t>
      </w:r>
      <w:r w:rsidRPr="3588B75B">
        <w:rPr>
          <w:rFonts w:ascii="Arial" w:hAnsi="Arial" w:cs="Arial"/>
          <w:sz w:val="21"/>
          <w:szCs w:val="21"/>
          <w:lang w:val="es-CO"/>
        </w:rPr>
        <w:t>/202</w:t>
      </w:r>
      <w:r w:rsidRPr="3588B75B" w:rsidR="41DCF07F">
        <w:rPr>
          <w:rFonts w:ascii="Arial" w:hAnsi="Arial" w:cs="Arial"/>
          <w:sz w:val="21"/>
          <w:szCs w:val="21"/>
          <w:lang w:val="es-CO"/>
        </w:rPr>
        <w:t>6</w:t>
      </w:r>
      <w:r w:rsidRPr="3588B75B">
        <w:rPr>
          <w:rFonts w:ascii="Arial" w:hAnsi="Arial" w:cs="Arial"/>
          <w:sz w:val="21"/>
          <w:szCs w:val="21"/>
          <w:lang w:val="es-CO"/>
        </w:rPr>
        <w:t xml:space="preserve"> del valor agregado por actividad económica.</w:t>
      </w:r>
    </w:p>
    <w:p w:rsidR="00897B57" w:rsidP="00D86FE0" w:rsidRDefault="00897B57" w14:paraId="0078B8D7" w14:textId="77777777">
      <w:pPr>
        <w:pStyle w:val="Textoindependiente"/>
        <w:tabs>
          <w:tab w:val="left" w:pos="284"/>
        </w:tabs>
        <w:rPr>
          <w:rFonts w:ascii="Arial" w:hAnsi="Arial" w:cs="Arial"/>
          <w:bCs/>
          <w:sz w:val="21"/>
          <w:szCs w:val="21"/>
          <w:lang w:val="es-CO"/>
        </w:rPr>
      </w:pPr>
    </w:p>
    <w:p w:rsidR="00453C78" w:rsidRDefault="00453C78" w14:paraId="14523C79" w14:textId="77777777">
      <w:pPr>
        <w:spacing w:after="160" w:line="259" w:lineRule="auto"/>
        <w:rPr>
          <w:rFonts w:ascii="Arial" w:hAnsi="Arial" w:cs="Arial"/>
          <w:bCs/>
          <w:sz w:val="21"/>
          <w:szCs w:val="21"/>
          <w:highlight w:val="yellow"/>
          <w:lang w:val="es-CO"/>
        </w:rPr>
      </w:pPr>
      <w:r>
        <w:rPr>
          <w:rFonts w:ascii="Arial" w:hAnsi="Arial" w:cs="Arial"/>
          <w:bCs/>
          <w:sz w:val="21"/>
          <w:szCs w:val="21"/>
          <w:highlight w:val="yellow"/>
          <w:lang w:val="es-CO"/>
        </w:rPr>
        <w:br w:type="page"/>
      </w:r>
    </w:p>
    <w:p w:rsidR="00336397" w:rsidP="222312A2" w:rsidRDefault="00897B57" w14:paraId="4FE16020" w14:textId="304B5B65">
      <w:pPr>
        <w:pStyle w:val="Textoindependiente"/>
        <w:tabs>
          <w:tab w:val="left" w:pos="284"/>
        </w:tabs>
        <w:rPr>
          <w:rFonts w:ascii="Arial" w:hAnsi="Arial" w:cs="Arial"/>
          <w:sz w:val="21"/>
          <w:szCs w:val="21"/>
          <w:lang w:val="es-CO"/>
        </w:rPr>
      </w:pPr>
      <w:r w:rsidRPr="3588B75B">
        <w:rPr>
          <w:rFonts w:ascii="Arial" w:hAnsi="Arial" w:cs="Arial"/>
          <w:sz w:val="21"/>
          <w:szCs w:val="21"/>
          <w:lang w:val="es-CO"/>
        </w:rPr>
        <w:t>Tabla 3</w:t>
      </w:r>
      <w:r w:rsidRPr="3588B75B" w:rsidR="39A7B562">
        <w:rPr>
          <w:rFonts w:ascii="Arial" w:hAnsi="Arial" w:cs="Arial"/>
          <w:sz w:val="21"/>
          <w:szCs w:val="21"/>
          <w:lang w:val="es-CO"/>
        </w:rPr>
        <w:t xml:space="preserve"> del Sector</w:t>
      </w:r>
    </w:p>
    <w:p w:rsidR="5AFEBD85" w:rsidP="5AFEBD85" w:rsidRDefault="0F68DAFC" w14:paraId="45EA0DFF" w14:textId="7A0C9D50">
      <w:pPr>
        <w:pStyle w:val="Textoindependiente"/>
        <w:tabs>
          <w:tab w:val="left" w:pos="284"/>
        </w:tabs>
      </w:pPr>
      <w:r>
        <w:rPr>
          <w:noProof/>
          <w:lang w:val="es-CO" w:eastAsia="es-CO"/>
        </w:rPr>
        <w:drawing>
          <wp:inline distT="0" distB="0" distL="0" distR="0" wp14:anchorId="57C2EE43" wp14:editId="6D0AA2F3">
            <wp:extent cx="5772150" cy="4152900"/>
            <wp:effectExtent l="0" t="0" r="0" b="0"/>
            <wp:docPr id="17658457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45726" name="Picture 1765845726"/>
                    <pic:cNvPicPr/>
                  </pic:nvPicPr>
                  <pic:blipFill>
                    <a:blip r:embed="rId16">
                      <a:extLst>
                        <a:ext uri="{28A0092B-C50C-407E-A947-70E740481C1C}">
                          <a14:useLocalDpi xmlns:a14="http://schemas.microsoft.com/office/drawing/2010/main"/>
                        </a:ext>
                      </a:extLst>
                    </a:blip>
                    <a:stretch>
                      <a:fillRect/>
                    </a:stretch>
                  </pic:blipFill>
                  <pic:spPr>
                    <a:xfrm>
                      <a:off x="0" y="0"/>
                      <a:ext cx="5772150" cy="4152900"/>
                    </a:xfrm>
                    <a:prstGeom prst="rect">
                      <a:avLst/>
                    </a:prstGeom>
                  </pic:spPr>
                </pic:pic>
              </a:graphicData>
            </a:graphic>
          </wp:inline>
        </w:drawing>
      </w:r>
    </w:p>
    <w:p w:rsidR="00897B57" w:rsidP="1175CB8B" w:rsidRDefault="00897B57" w14:paraId="089233EF" w14:textId="06FC6D06">
      <w:pPr>
        <w:pStyle w:val="Textoindependiente"/>
        <w:tabs>
          <w:tab w:val="left" w:pos="284"/>
        </w:tabs>
        <w:rPr>
          <w:rFonts w:ascii="Arial" w:hAnsi="Arial" w:cs="Arial"/>
          <w:sz w:val="14"/>
          <w:szCs w:val="14"/>
          <w:lang w:val="es-CO"/>
        </w:rPr>
      </w:pPr>
      <w:r w:rsidRPr="3588B75B">
        <w:rPr>
          <w:rFonts w:ascii="Arial" w:hAnsi="Arial" w:cs="Arial"/>
          <w:sz w:val="14"/>
          <w:szCs w:val="14"/>
          <w:lang w:eastAsia="es-CO"/>
        </w:rPr>
        <w:t>Fuente:</w:t>
      </w:r>
      <w:r w:rsidRPr="3588B75B" w:rsidR="3E64AFD6">
        <w:rPr>
          <w:rFonts w:ascii="Arial" w:hAnsi="Arial" w:cs="Arial"/>
          <w:sz w:val="14"/>
          <w:szCs w:val="14"/>
          <w:lang w:eastAsia="es-CO"/>
        </w:rPr>
        <w:t>2DANE, Boletín Técnico Producto Interno Bruto (PIB) I trimestre 202</w:t>
      </w:r>
      <w:r w:rsidRPr="3588B75B" w:rsidR="261B5F63">
        <w:rPr>
          <w:rFonts w:ascii="Arial" w:hAnsi="Arial" w:cs="Arial"/>
          <w:sz w:val="14"/>
          <w:szCs w:val="14"/>
          <w:lang w:eastAsia="es-CO"/>
        </w:rPr>
        <w:t>6</w:t>
      </w:r>
      <w:r w:rsidRPr="3588B75B" w:rsidR="3E64AFD6">
        <w:rPr>
          <w:rFonts w:ascii="Arial" w:hAnsi="Arial" w:cs="Arial"/>
          <w:sz w:val="14"/>
          <w:szCs w:val="14"/>
          <w:lang w:eastAsia="es-CO"/>
        </w:rPr>
        <w:t xml:space="preserve">p: </w:t>
      </w:r>
      <w:r w:rsidRPr="3588B75B" w:rsidR="5861A9FB">
        <w:rPr>
          <w:rFonts w:ascii="Arial" w:hAnsi="Arial" w:cs="Arial"/>
          <w:sz w:val="14"/>
          <w:szCs w:val="14"/>
          <w:lang w:eastAsia="es-CO"/>
        </w:rPr>
        <w:t>https://www.dane.gov.co/index.php/estadisticas-por-tema/cuentas-nacionales/cuentas-nacionales-trimestrales/pib-informacion-tecnica</w:t>
      </w:r>
      <w:hyperlink r:id="rId17">
        <w:r w:rsidRPr="3588B75B" w:rsidR="3E64AFD6">
          <w:rPr>
            <w:rStyle w:val="Hipervnculo"/>
            <w:rFonts w:ascii="Arial" w:hAnsi="Arial" w:cs="Arial"/>
            <w:sz w:val="14"/>
            <w:szCs w:val="14"/>
            <w:lang w:eastAsia="es-CO"/>
          </w:rPr>
          <w:t>.</w:t>
        </w:r>
      </w:hyperlink>
      <w:r w:rsidRPr="3588B75B" w:rsidR="3E64AFD6">
        <w:rPr>
          <w:rFonts w:ascii="Arial" w:hAnsi="Arial" w:cs="Arial"/>
          <w:sz w:val="14"/>
          <w:szCs w:val="14"/>
          <w:lang w:eastAsia="es-CO"/>
        </w:rPr>
        <w:t xml:space="preserve"> Fecha de consulta: </w:t>
      </w:r>
      <w:r w:rsidR="004E0BB6">
        <w:rPr>
          <w:rFonts w:ascii="Arial" w:hAnsi="Arial" w:cs="Arial"/>
          <w:sz w:val="14"/>
          <w:szCs w:val="14"/>
          <w:lang w:eastAsia="es-CO"/>
        </w:rPr>
        <w:t>10</w:t>
      </w:r>
      <w:r w:rsidRPr="3588B75B" w:rsidR="3E64AFD6">
        <w:rPr>
          <w:rFonts w:ascii="Arial" w:hAnsi="Arial" w:cs="Arial"/>
          <w:sz w:val="14"/>
          <w:szCs w:val="14"/>
          <w:lang w:eastAsia="es-CO"/>
        </w:rPr>
        <w:t xml:space="preserve"> de </w:t>
      </w:r>
      <w:r w:rsidR="004E0BB6">
        <w:rPr>
          <w:rFonts w:ascii="Arial" w:hAnsi="Arial" w:cs="Arial"/>
          <w:sz w:val="14"/>
          <w:szCs w:val="14"/>
          <w:lang w:eastAsia="es-CO"/>
        </w:rPr>
        <w:t>juni</w:t>
      </w:r>
      <w:r w:rsidRPr="3588B75B" w:rsidR="00BE0F3D">
        <w:rPr>
          <w:rFonts w:ascii="Arial" w:hAnsi="Arial" w:cs="Arial"/>
          <w:sz w:val="14"/>
          <w:szCs w:val="14"/>
          <w:lang w:eastAsia="es-CO"/>
        </w:rPr>
        <w:t xml:space="preserve">o </w:t>
      </w:r>
      <w:r w:rsidRPr="3588B75B" w:rsidR="3E64AFD6">
        <w:rPr>
          <w:rFonts w:ascii="Arial" w:hAnsi="Arial" w:cs="Arial"/>
          <w:sz w:val="14"/>
          <w:szCs w:val="14"/>
          <w:lang w:eastAsia="es-CO"/>
        </w:rPr>
        <w:t>de 202</w:t>
      </w:r>
      <w:r w:rsidRPr="3588B75B" w:rsidR="28E0EFDD">
        <w:rPr>
          <w:rFonts w:ascii="Arial" w:hAnsi="Arial" w:cs="Arial"/>
          <w:sz w:val="14"/>
          <w:szCs w:val="14"/>
          <w:lang w:eastAsia="es-CO"/>
        </w:rPr>
        <w:t>6</w:t>
      </w:r>
      <w:r w:rsidRPr="3588B75B" w:rsidR="3E64AFD6">
        <w:rPr>
          <w:rFonts w:ascii="Arial" w:hAnsi="Arial" w:cs="Arial"/>
          <w:sz w:val="14"/>
          <w:szCs w:val="14"/>
          <w:lang w:eastAsia="es-CO"/>
        </w:rPr>
        <w:t xml:space="preserve">.  </w:t>
      </w:r>
    </w:p>
    <w:p w:rsidR="00897B57" w:rsidP="00D86FE0" w:rsidRDefault="00897B57" w14:paraId="7016457E" w14:textId="36588A3E">
      <w:pPr>
        <w:pStyle w:val="Textoindependiente"/>
        <w:tabs>
          <w:tab w:val="left" w:pos="284"/>
        </w:tabs>
        <w:jc w:val="center"/>
        <w:rPr>
          <w:rFonts w:ascii="Arial" w:hAnsi="Arial" w:cs="Arial"/>
          <w:bCs/>
          <w:sz w:val="21"/>
          <w:szCs w:val="21"/>
          <w:lang w:val="es-CO"/>
        </w:rPr>
      </w:pPr>
    </w:p>
    <w:p w:rsidRPr="003D0ADA" w:rsidR="00453C78" w:rsidP="222312A2" w:rsidRDefault="00453C78" w14:paraId="33BB1CB7" w14:textId="512C3935">
      <w:pPr>
        <w:pStyle w:val="Textoindependiente"/>
        <w:tabs>
          <w:tab w:val="left" w:pos="0"/>
        </w:tabs>
        <w:rPr>
          <w:rFonts w:ascii="Arial" w:hAnsi="Arial" w:cs="Arial"/>
          <w:sz w:val="21"/>
          <w:szCs w:val="21"/>
          <w:lang w:val="es-CO"/>
        </w:rPr>
      </w:pPr>
      <w:r w:rsidRPr="3588B75B">
        <w:rPr>
          <w:rFonts w:ascii="Arial" w:hAnsi="Arial" w:cs="Arial"/>
          <w:sz w:val="21"/>
          <w:szCs w:val="21"/>
          <w:lang w:val="es-CO"/>
        </w:rPr>
        <w:t xml:space="preserve">Se observa en la tabla </w:t>
      </w:r>
      <w:r w:rsidRPr="3588B75B" w:rsidR="3FF6435A">
        <w:rPr>
          <w:rFonts w:ascii="Arial" w:hAnsi="Arial" w:cs="Arial"/>
          <w:sz w:val="21"/>
          <w:szCs w:val="21"/>
          <w:lang w:val="es-CO"/>
        </w:rPr>
        <w:t>que,</w:t>
      </w:r>
      <w:r w:rsidRPr="3588B75B">
        <w:rPr>
          <w:rFonts w:ascii="Arial" w:hAnsi="Arial" w:cs="Arial"/>
          <w:sz w:val="21"/>
          <w:szCs w:val="21"/>
          <w:lang w:val="es-CO"/>
        </w:rPr>
        <w:t xml:space="preserve"> para la actividad de coquización, fabricación de productos de la refinación del petróleo y actividad de mezcla de combustibles presenta una tasa anual creciente del</w:t>
      </w:r>
      <w:r w:rsidRPr="3588B75B" w:rsidR="1A34A099">
        <w:rPr>
          <w:rFonts w:ascii="Arial" w:hAnsi="Arial" w:cs="Arial"/>
          <w:sz w:val="21"/>
          <w:szCs w:val="21"/>
          <w:lang w:val="es-CO"/>
        </w:rPr>
        <w:t xml:space="preserve"> </w:t>
      </w:r>
      <w:r w:rsidRPr="3588B75B" w:rsidR="367381C5">
        <w:rPr>
          <w:rFonts w:ascii="Arial" w:hAnsi="Arial" w:cs="Arial"/>
          <w:sz w:val="21"/>
          <w:szCs w:val="21"/>
          <w:lang w:val="es-CO"/>
        </w:rPr>
        <w:t>4,0</w:t>
      </w:r>
      <w:r w:rsidRPr="3588B75B">
        <w:rPr>
          <w:rFonts w:ascii="Arial" w:hAnsi="Arial" w:cs="Arial"/>
          <w:sz w:val="21"/>
          <w:szCs w:val="21"/>
          <w:lang w:val="es-CO"/>
        </w:rPr>
        <w:t xml:space="preserve"> % y trimestral del</w:t>
      </w:r>
      <w:r w:rsidRPr="3588B75B" w:rsidR="77647949">
        <w:rPr>
          <w:rFonts w:ascii="Arial" w:hAnsi="Arial" w:cs="Arial"/>
          <w:sz w:val="21"/>
          <w:szCs w:val="21"/>
          <w:lang w:val="es-CO"/>
        </w:rPr>
        <w:t xml:space="preserve"> </w:t>
      </w:r>
      <w:r w:rsidRPr="3588B75B">
        <w:rPr>
          <w:rFonts w:ascii="Arial" w:hAnsi="Arial" w:cs="Arial"/>
          <w:sz w:val="21"/>
          <w:szCs w:val="21"/>
          <w:lang w:val="es-CO"/>
        </w:rPr>
        <w:t>1</w:t>
      </w:r>
      <w:r w:rsidRPr="3588B75B" w:rsidR="77647949">
        <w:rPr>
          <w:rFonts w:ascii="Arial" w:hAnsi="Arial" w:cs="Arial"/>
          <w:sz w:val="21"/>
          <w:szCs w:val="21"/>
          <w:lang w:val="es-CO"/>
        </w:rPr>
        <w:t>,1</w:t>
      </w:r>
      <w:r w:rsidRPr="3588B75B">
        <w:rPr>
          <w:rFonts w:ascii="Arial" w:hAnsi="Arial" w:cs="Arial"/>
          <w:sz w:val="21"/>
          <w:szCs w:val="21"/>
          <w:lang w:val="es-CO"/>
        </w:rPr>
        <w:t xml:space="preserve"> % entre 202</w:t>
      </w:r>
      <w:r w:rsidRPr="3588B75B" w:rsidR="20DD1D4F">
        <w:rPr>
          <w:rFonts w:ascii="Arial" w:hAnsi="Arial" w:cs="Arial"/>
          <w:sz w:val="21"/>
          <w:szCs w:val="21"/>
          <w:lang w:val="es-CO"/>
        </w:rPr>
        <w:t>5</w:t>
      </w:r>
      <w:r w:rsidRPr="3588B75B">
        <w:rPr>
          <w:rFonts w:ascii="Arial" w:hAnsi="Arial" w:cs="Arial"/>
          <w:sz w:val="21"/>
          <w:szCs w:val="21"/>
          <w:lang w:val="es-CO"/>
        </w:rPr>
        <w:t>/202</w:t>
      </w:r>
      <w:r w:rsidRPr="3588B75B" w:rsidR="53105890">
        <w:rPr>
          <w:rFonts w:ascii="Arial" w:hAnsi="Arial" w:cs="Arial"/>
          <w:sz w:val="21"/>
          <w:szCs w:val="21"/>
          <w:lang w:val="es-CO"/>
        </w:rPr>
        <w:t>6</w:t>
      </w:r>
      <w:r w:rsidRPr="3588B75B" w:rsidR="06E363E6">
        <w:rPr>
          <w:rFonts w:ascii="Arial" w:hAnsi="Arial" w:cs="Arial"/>
          <w:sz w:val="21"/>
          <w:szCs w:val="21"/>
          <w:lang w:val="es-CO"/>
        </w:rPr>
        <w:t xml:space="preserve"> </w:t>
      </w:r>
      <w:r w:rsidRPr="3588B75B">
        <w:rPr>
          <w:rFonts w:ascii="Arial" w:hAnsi="Arial" w:cs="Arial"/>
          <w:sz w:val="21"/>
          <w:szCs w:val="21"/>
          <w:lang w:val="es-CO"/>
        </w:rPr>
        <w:t>del valor agregado por actividad económica.</w:t>
      </w:r>
    </w:p>
    <w:p w:rsidRPr="003D0ADA" w:rsidR="00453C78" w:rsidP="00D86FE0" w:rsidRDefault="00453C78" w14:paraId="7DBC2CBC" w14:textId="77777777">
      <w:pPr>
        <w:pStyle w:val="Textoindependiente"/>
        <w:tabs>
          <w:tab w:val="left" w:pos="284"/>
        </w:tabs>
        <w:jc w:val="center"/>
        <w:rPr>
          <w:rFonts w:ascii="Arial" w:hAnsi="Arial" w:cs="Arial"/>
          <w:bCs/>
          <w:sz w:val="21"/>
          <w:szCs w:val="21"/>
          <w:lang w:val="es-CO"/>
        </w:rPr>
      </w:pPr>
    </w:p>
    <w:p w:rsidRPr="003D0ADA" w:rsidR="00BD1C2E" w:rsidP="00D86FE0" w:rsidRDefault="00BD1C2E" w14:paraId="55EBC996" w14:textId="51A15D9A">
      <w:pPr>
        <w:pStyle w:val="Textoindependiente"/>
        <w:tabs>
          <w:tab w:val="left" w:pos="284"/>
        </w:tabs>
        <w:rPr>
          <w:rFonts w:ascii="Arial" w:hAnsi="Arial" w:cs="Arial"/>
          <w:bCs/>
          <w:sz w:val="21"/>
          <w:szCs w:val="21"/>
          <w:lang w:val="es-CO"/>
        </w:rPr>
      </w:pPr>
    </w:p>
    <w:p w:rsidRPr="003D0ADA" w:rsidR="00CC08B3" w:rsidP="00D86FE0" w:rsidRDefault="58B8E7C2" w14:paraId="25526127" w14:textId="222E52BC">
      <w:pPr>
        <w:pStyle w:val="Textoindependiente"/>
        <w:numPr>
          <w:ilvl w:val="0"/>
          <w:numId w:val="27"/>
        </w:numPr>
        <w:tabs>
          <w:tab w:val="left" w:pos="284"/>
        </w:tabs>
        <w:rPr>
          <w:rFonts w:ascii="Arial" w:hAnsi="Arial" w:cs="Arial"/>
          <w:b/>
          <w:bCs/>
          <w:sz w:val="21"/>
          <w:szCs w:val="21"/>
          <w:lang w:val="es-CO"/>
        </w:rPr>
      </w:pPr>
      <w:r w:rsidRPr="00BA4085">
        <w:rPr>
          <w:rFonts w:ascii="Arial" w:hAnsi="Arial" w:cs="Arial"/>
          <w:b/>
          <w:bCs/>
          <w:sz w:val="21"/>
          <w:szCs w:val="21"/>
          <w:lang w:val="es-CO"/>
        </w:rPr>
        <w:t>Empleo que genera</w:t>
      </w:r>
    </w:p>
    <w:p w:rsidRPr="003D0ADA" w:rsidR="00BA70F2" w:rsidP="00D86FE0" w:rsidRDefault="00BA70F2" w14:paraId="7DE989F7" w14:textId="77777777">
      <w:pPr>
        <w:pStyle w:val="Textoindependiente"/>
        <w:tabs>
          <w:tab w:val="left" w:pos="284"/>
        </w:tabs>
        <w:rPr>
          <w:rFonts w:ascii="Arial" w:hAnsi="Arial" w:cs="Arial"/>
          <w:b/>
          <w:sz w:val="21"/>
          <w:szCs w:val="21"/>
          <w:lang w:val="es-CO"/>
        </w:rPr>
      </w:pPr>
    </w:p>
    <w:p w:rsidR="00E6500C" w:rsidP="5AFEBD85" w:rsidRDefault="00BE0F3D" w14:paraId="6552B000" w14:textId="7D85DC99">
      <w:pPr>
        <w:pStyle w:val="Textoindependiente"/>
        <w:tabs>
          <w:tab w:val="left" w:pos="284"/>
        </w:tabs>
        <w:rPr>
          <w:rFonts w:ascii="Arial" w:hAnsi="Arial" w:cs="Arial"/>
          <w:sz w:val="22"/>
          <w:szCs w:val="22"/>
          <w:lang w:val="es-CO"/>
        </w:rPr>
      </w:pPr>
      <w:commentRangeStart w:id="104834615"/>
      <w:r w:rsidRPr="5CB1E3AC" w:rsidR="00BE0F3D">
        <w:rPr>
          <w:rFonts w:ascii="Arial" w:hAnsi="Arial" w:cs="Arial"/>
          <w:sz w:val="22"/>
          <w:szCs w:val="22"/>
          <w:lang w:val="es-CO"/>
        </w:rPr>
        <w:t>Para marzo de 2026, la tasa de desocupación del total nacional fue 8,8%, lo que representó una disminución de 0,8 puntos porcentuales respecto al mismo mes de 2025 (9,6%). La tasa global de participación se ubicó en 65,0% y la tasa de ocupación en 59,3%, en marzo de 2025 estas tasas fueron 64,7% y 58,5%, respectivamente</w:t>
      </w:r>
      <w:commentRangeEnd w:id="104834615"/>
      <w:r>
        <w:rPr>
          <w:rStyle w:val="CommentReference"/>
        </w:rPr>
        <w:commentReference w:id="104834615"/>
      </w:r>
      <w:r w:rsidRPr="5CB1E3AC" w:rsidR="00BE0F3D">
        <w:rPr>
          <w:rFonts w:ascii="Arial" w:hAnsi="Arial" w:cs="Arial"/>
          <w:sz w:val="22"/>
          <w:szCs w:val="22"/>
          <w:lang w:val="es-CO"/>
        </w:rPr>
        <w:t>.</w:t>
      </w:r>
    </w:p>
    <w:p w:rsidR="5AFEBD85" w:rsidP="5AFEBD85" w:rsidRDefault="5AFEBD85" w14:paraId="7BEF75B5" w14:textId="4991357C">
      <w:pPr>
        <w:pStyle w:val="Textoindependiente"/>
        <w:tabs>
          <w:tab w:val="left" w:pos="284"/>
        </w:tabs>
        <w:rPr>
          <w:rFonts w:ascii="Arial" w:hAnsi="Arial" w:cs="Arial"/>
          <w:sz w:val="22"/>
          <w:szCs w:val="22"/>
          <w:lang w:val="es-CO"/>
        </w:rPr>
      </w:pPr>
    </w:p>
    <w:p w:rsidR="00BE0F3D" w:rsidP="5AFEBD85" w:rsidRDefault="00BE0F3D" w14:paraId="62BDA4B8" w14:textId="5DBA65F6">
      <w:pPr>
        <w:pStyle w:val="Textoindependiente"/>
        <w:tabs>
          <w:tab w:val="left" w:pos="284"/>
        </w:tabs>
        <w:rPr>
          <w:rFonts w:ascii="Arial" w:hAnsi="Arial" w:cs="Arial"/>
          <w:sz w:val="22"/>
          <w:szCs w:val="22"/>
          <w:lang w:val="es-CO"/>
        </w:rPr>
      </w:pPr>
    </w:p>
    <w:p w:rsidR="00BE0F3D" w:rsidP="5AFEBD85" w:rsidRDefault="00BE0F3D" w14:paraId="52E669DB" w14:textId="3422293D">
      <w:pPr>
        <w:pStyle w:val="Textoindependiente"/>
        <w:tabs>
          <w:tab w:val="left" w:pos="284"/>
        </w:tabs>
        <w:rPr>
          <w:rFonts w:ascii="Arial" w:hAnsi="Arial" w:cs="Arial"/>
          <w:sz w:val="22"/>
          <w:szCs w:val="22"/>
          <w:lang w:val="es-CO"/>
        </w:rPr>
      </w:pPr>
    </w:p>
    <w:p w:rsidR="00BE0F3D" w:rsidP="5AFEBD85" w:rsidRDefault="00BE0F3D" w14:paraId="1D94E074" w14:textId="295A2F78">
      <w:pPr>
        <w:pStyle w:val="Textoindependiente"/>
        <w:tabs>
          <w:tab w:val="left" w:pos="284"/>
        </w:tabs>
        <w:rPr>
          <w:rFonts w:ascii="Arial" w:hAnsi="Arial" w:cs="Arial"/>
          <w:sz w:val="22"/>
          <w:szCs w:val="22"/>
          <w:lang w:val="es-CO"/>
        </w:rPr>
      </w:pPr>
    </w:p>
    <w:p w:rsidR="00BE0F3D" w:rsidP="5AFEBD85" w:rsidRDefault="00BE0F3D" w14:paraId="03DBDFE5" w14:textId="77777777">
      <w:pPr>
        <w:pStyle w:val="Textoindependiente"/>
        <w:tabs>
          <w:tab w:val="left" w:pos="284"/>
        </w:tabs>
        <w:rPr>
          <w:rFonts w:ascii="Arial" w:hAnsi="Arial" w:cs="Arial"/>
          <w:sz w:val="22"/>
          <w:szCs w:val="22"/>
          <w:lang w:val="es-CO"/>
        </w:rPr>
      </w:pPr>
    </w:p>
    <w:p w:rsidR="5AFEBD85" w:rsidP="5AFEBD85" w:rsidRDefault="5AFEBD85" w14:paraId="7E724411" w14:textId="4AD41AD8">
      <w:pPr>
        <w:pStyle w:val="Textoindependiente"/>
        <w:tabs>
          <w:tab w:val="left" w:pos="284"/>
        </w:tabs>
        <w:rPr>
          <w:rFonts w:ascii="Arial" w:hAnsi="Arial" w:cs="Arial"/>
          <w:sz w:val="22"/>
          <w:szCs w:val="22"/>
          <w:lang w:val="es-CO"/>
        </w:rPr>
      </w:pPr>
    </w:p>
    <w:p w:rsidR="5AFEBD85" w:rsidP="5AFEBD85" w:rsidRDefault="5AFEBD85" w14:paraId="0AD9DD40" w14:textId="25914AD5">
      <w:pPr>
        <w:pStyle w:val="Textoindependiente"/>
        <w:tabs>
          <w:tab w:val="left" w:pos="284"/>
        </w:tabs>
        <w:rPr>
          <w:rFonts w:ascii="Arial" w:hAnsi="Arial" w:cs="Arial"/>
          <w:sz w:val="22"/>
          <w:szCs w:val="22"/>
          <w:lang w:val="es-CO"/>
        </w:rPr>
      </w:pPr>
    </w:p>
    <w:p w:rsidRPr="003D0ADA" w:rsidR="00731B2D" w:rsidP="00D86FE0" w:rsidRDefault="00731B2D" w14:paraId="5A195EA8" w14:textId="1A513138">
      <w:pPr>
        <w:pStyle w:val="Textoindependiente"/>
        <w:tabs>
          <w:tab w:val="left" w:pos="284"/>
        </w:tabs>
        <w:rPr>
          <w:rFonts w:ascii="Arial" w:hAnsi="Arial" w:cs="Arial"/>
          <w:sz w:val="22"/>
          <w:szCs w:val="22"/>
          <w:lang w:val="es-CO"/>
        </w:rPr>
      </w:pPr>
    </w:p>
    <w:p w:rsidRPr="003D0ADA" w:rsidR="00731B2D" w:rsidP="00D86FE0" w:rsidRDefault="00731B2D" w14:paraId="37D9F12F" w14:textId="44B16AC3">
      <w:pPr>
        <w:pStyle w:val="Textoindependiente"/>
        <w:tabs>
          <w:tab w:val="left" w:pos="284"/>
        </w:tabs>
        <w:rPr>
          <w:rFonts w:ascii="Arial" w:hAnsi="Arial" w:cs="Arial"/>
          <w:sz w:val="22"/>
          <w:szCs w:val="22"/>
          <w:lang w:val="es-CO"/>
        </w:rPr>
      </w:pPr>
      <w:r w:rsidRPr="5AFEBD85">
        <w:rPr>
          <w:rFonts w:ascii="Arial" w:hAnsi="Arial" w:cs="Arial"/>
          <w:sz w:val="22"/>
          <w:szCs w:val="22"/>
          <w:lang w:val="es-CO"/>
        </w:rPr>
        <w:t>Grafica No 1</w:t>
      </w:r>
      <w:r w:rsidRPr="5AFEBD85" w:rsidR="03F75919">
        <w:rPr>
          <w:rFonts w:ascii="Arial" w:hAnsi="Arial" w:cs="Arial"/>
          <w:sz w:val="22"/>
          <w:szCs w:val="22"/>
          <w:lang w:val="es-CO"/>
        </w:rPr>
        <w:t xml:space="preserve"> del Sector</w:t>
      </w:r>
    </w:p>
    <w:p w:rsidRPr="003D0ADA" w:rsidR="00731B2D" w:rsidP="00D86FE0" w:rsidRDefault="00731B2D" w14:paraId="2DAA1FC9" w14:textId="72921F15">
      <w:pPr>
        <w:pStyle w:val="Textoindependiente"/>
        <w:tabs>
          <w:tab w:val="left" w:pos="284"/>
        </w:tabs>
        <w:rPr>
          <w:rFonts w:ascii="Arial" w:hAnsi="Arial" w:cs="Arial"/>
          <w:sz w:val="21"/>
          <w:szCs w:val="21"/>
          <w:lang w:val="es-CO"/>
        </w:rPr>
      </w:pPr>
    </w:p>
    <w:p w:rsidRPr="003D0ADA" w:rsidR="00731B2D" w:rsidP="00D86FE0" w:rsidRDefault="00A55A33" w14:paraId="6ABF6A41" w14:textId="5139DAA9">
      <w:pPr>
        <w:pStyle w:val="Textoindependiente"/>
        <w:tabs>
          <w:tab w:val="left" w:pos="284"/>
        </w:tabs>
      </w:pPr>
      <w:r w:rsidRPr="00A55A33">
        <w:rPr>
          <w:noProof/>
          <w:lang w:val="es-CO" w:eastAsia="es-CO"/>
        </w:rPr>
        <w:drawing>
          <wp:inline distT="0" distB="0" distL="0" distR="0" wp14:anchorId="33865D5D" wp14:editId="44B875B4">
            <wp:extent cx="5410669" cy="3482642"/>
            <wp:effectExtent l="0" t="0" r="0" b="3810"/>
            <wp:docPr id="975460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60877" name=""/>
                    <pic:cNvPicPr/>
                  </pic:nvPicPr>
                  <pic:blipFill>
                    <a:blip r:embed="rId18"/>
                    <a:stretch>
                      <a:fillRect/>
                    </a:stretch>
                  </pic:blipFill>
                  <pic:spPr>
                    <a:xfrm>
                      <a:off x="0" y="0"/>
                      <a:ext cx="5410669" cy="3482642"/>
                    </a:xfrm>
                    <a:prstGeom prst="rect">
                      <a:avLst/>
                    </a:prstGeom>
                  </pic:spPr>
                </pic:pic>
              </a:graphicData>
            </a:graphic>
          </wp:inline>
        </w:drawing>
      </w:r>
    </w:p>
    <w:p w:rsidRPr="003D0ADA" w:rsidR="00731B2D" w:rsidP="00D86FE0" w:rsidRDefault="00731B2D" w14:paraId="28374216" w14:textId="77777777">
      <w:pPr>
        <w:pStyle w:val="Textoindependiente"/>
        <w:tabs>
          <w:tab w:val="left" w:pos="284"/>
        </w:tabs>
        <w:rPr>
          <w:rFonts w:ascii="Arial" w:hAnsi="Arial" w:cs="Arial"/>
          <w:sz w:val="21"/>
          <w:szCs w:val="21"/>
          <w:lang w:val="es-CO"/>
        </w:rPr>
      </w:pPr>
    </w:p>
    <w:p w:rsidR="00731B2D" w:rsidP="222312A2" w:rsidRDefault="00731B2D" w14:paraId="7CDC2900" w14:textId="6CE072A4">
      <w:pPr>
        <w:pStyle w:val="Textoindependiente"/>
        <w:tabs>
          <w:tab w:val="left" w:pos="284"/>
        </w:tabs>
        <w:rPr>
          <w:rFonts w:ascii="Arial" w:hAnsi="Arial" w:cs="Arial"/>
          <w:b/>
          <w:bCs/>
          <w:sz w:val="21"/>
          <w:szCs w:val="21"/>
          <w:lang w:val="es-CO"/>
        </w:rPr>
      </w:pPr>
      <w:r w:rsidRPr="222312A2">
        <w:rPr>
          <w:rFonts w:ascii="Arial" w:hAnsi="Arial" w:cs="Arial"/>
          <w:sz w:val="14"/>
          <w:szCs w:val="14"/>
          <w:lang w:eastAsia="es-CO"/>
        </w:rPr>
        <w:t xml:space="preserve">Fuente: DANE. </w:t>
      </w:r>
      <w:r w:rsidRPr="222312A2">
        <w:rPr>
          <w:rFonts w:ascii="Arial" w:hAnsi="Arial" w:cs="Arial"/>
          <w:i/>
          <w:iCs/>
          <w:sz w:val="14"/>
          <w:szCs w:val="14"/>
          <w:lang w:eastAsia="es-CO"/>
        </w:rPr>
        <w:t xml:space="preserve">Boletín </w:t>
      </w:r>
      <w:r w:rsidRPr="222312A2">
        <w:rPr>
          <w:rFonts w:ascii="Arial" w:hAnsi="Arial" w:cs="Arial"/>
          <w:sz w:val="14"/>
          <w:szCs w:val="14"/>
          <w:lang w:eastAsia="es-CO"/>
        </w:rPr>
        <w:t>técnico Principales in</w:t>
      </w:r>
      <w:r w:rsidRPr="222312A2" w:rsidR="00BF2E2C">
        <w:rPr>
          <w:rFonts w:ascii="Arial" w:hAnsi="Arial" w:cs="Arial"/>
          <w:sz w:val="14"/>
          <w:szCs w:val="14"/>
          <w:lang w:eastAsia="es-CO"/>
        </w:rPr>
        <w:t xml:space="preserve">dicadores del mercado laboral </w:t>
      </w:r>
      <w:r w:rsidR="00BE0F3D">
        <w:rPr>
          <w:rFonts w:ascii="Arial" w:hAnsi="Arial" w:cs="Arial"/>
          <w:sz w:val="14"/>
          <w:szCs w:val="14"/>
          <w:lang w:eastAsia="es-CO"/>
        </w:rPr>
        <w:t>marzo</w:t>
      </w:r>
      <w:r w:rsidRPr="222312A2" w:rsidR="1F2A9F59">
        <w:rPr>
          <w:rFonts w:ascii="Arial" w:hAnsi="Arial" w:cs="Arial"/>
          <w:sz w:val="14"/>
          <w:szCs w:val="14"/>
          <w:lang w:eastAsia="es-CO"/>
        </w:rPr>
        <w:t xml:space="preserve"> </w:t>
      </w:r>
      <w:r w:rsidRPr="222312A2" w:rsidR="00BF2E2C">
        <w:rPr>
          <w:rFonts w:ascii="Arial" w:hAnsi="Arial" w:cs="Arial"/>
          <w:sz w:val="14"/>
          <w:szCs w:val="14"/>
          <w:lang w:eastAsia="es-CO"/>
        </w:rPr>
        <w:t>202</w:t>
      </w:r>
      <w:r w:rsidRPr="222312A2" w:rsidR="5D9E591B">
        <w:rPr>
          <w:rFonts w:ascii="Arial" w:hAnsi="Arial" w:cs="Arial"/>
          <w:sz w:val="14"/>
          <w:szCs w:val="14"/>
          <w:lang w:eastAsia="es-CO"/>
        </w:rPr>
        <w:t>6</w:t>
      </w:r>
      <w:r w:rsidRPr="222312A2">
        <w:rPr>
          <w:rFonts w:ascii="Arial" w:hAnsi="Arial" w:cs="Arial"/>
          <w:i/>
          <w:iCs/>
          <w:sz w:val="14"/>
          <w:szCs w:val="14"/>
          <w:lang w:eastAsia="es-CO"/>
        </w:rPr>
        <w:t xml:space="preserve">. </w:t>
      </w:r>
      <w:r w:rsidRPr="222312A2">
        <w:rPr>
          <w:rFonts w:ascii="Arial" w:hAnsi="Arial" w:cs="Arial"/>
          <w:sz w:val="14"/>
          <w:szCs w:val="14"/>
          <w:lang w:eastAsia="es-CO"/>
        </w:rPr>
        <w:t>Disponible:</w:t>
      </w:r>
      <w:r w:rsidRPr="222312A2">
        <w:rPr>
          <w:rFonts w:ascii="Arial" w:hAnsi="Arial" w:cs="Arial"/>
        </w:rPr>
        <w:t xml:space="preserve"> </w:t>
      </w:r>
      <w:r w:rsidRPr="00BE0F3D" w:rsidR="00BE0F3D">
        <w:rPr>
          <w:rFonts w:ascii="Arial" w:hAnsi="Arial" w:cs="Arial"/>
          <w:sz w:val="14"/>
          <w:szCs w:val="14"/>
        </w:rPr>
        <w:t>https://www.dane.gov.co/index.php/estadisticas-por-tema/mercado-laboral/empleo-y-desempleo</w:t>
      </w:r>
      <w:r w:rsidRPr="222312A2">
        <w:rPr>
          <w:rFonts w:ascii="Arial" w:hAnsi="Arial" w:cs="Arial"/>
          <w:sz w:val="14"/>
          <w:szCs w:val="14"/>
          <w:lang w:eastAsia="es-CO"/>
        </w:rPr>
        <w:t xml:space="preserve"> Fecha</w:t>
      </w:r>
      <w:r w:rsidRPr="222312A2">
        <w:rPr>
          <w:rFonts w:ascii="Arial" w:hAnsi="Arial" w:cs="Arial"/>
          <w:sz w:val="14"/>
          <w:szCs w:val="14"/>
        </w:rPr>
        <w:t xml:space="preserve"> de consulta: </w:t>
      </w:r>
      <w:r w:rsidR="00BE0F3D">
        <w:rPr>
          <w:rFonts w:ascii="Arial" w:hAnsi="Arial" w:cs="Arial"/>
          <w:sz w:val="14"/>
          <w:szCs w:val="14"/>
        </w:rPr>
        <w:t>05</w:t>
      </w:r>
      <w:r w:rsidRPr="222312A2" w:rsidR="00BF2E2C">
        <w:rPr>
          <w:rFonts w:ascii="Arial" w:hAnsi="Arial" w:cs="Arial"/>
          <w:sz w:val="14"/>
          <w:szCs w:val="14"/>
        </w:rPr>
        <w:t xml:space="preserve"> de </w:t>
      </w:r>
      <w:r w:rsidR="00BE0F3D">
        <w:rPr>
          <w:rFonts w:ascii="Arial" w:hAnsi="Arial" w:cs="Arial"/>
          <w:sz w:val="14"/>
          <w:szCs w:val="14"/>
        </w:rPr>
        <w:t>mayo</w:t>
      </w:r>
      <w:r w:rsidRPr="222312A2" w:rsidR="00BF2E2C">
        <w:rPr>
          <w:rFonts w:ascii="Arial" w:hAnsi="Arial" w:cs="Arial"/>
          <w:sz w:val="14"/>
          <w:szCs w:val="14"/>
        </w:rPr>
        <w:t xml:space="preserve"> de 202</w:t>
      </w:r>
      <w:r w:rsidRPr="222312A2" w:rsidR="30F89C54">
        <w:rPr>
          <w:rFonts w:ascii="Arial" w:hAnsi="Arial" w:cs="Arial"/>
          <w:sz w:val="14"/>
          <w:szCs w:val="14"/>
        </w:rPr>
        <w:t>6</w:t>
      </w:r>
      <w:r w:rsidRPr="222312A2">
        <w:rPr>
          <w:rFonts w:ascii="Arial" w:hAnsi="Arial" w:cs="Arial"/>
          <w:sz w:val="14"/>
          <w:szCs w:val="14"/>
        </w:rPr>
        <w:t>.</w:t>
      </w:r>
    </w:p>
    <w:p w:rsidRPr="003D0ADA" w:rsidR="00E6500C" w:rsidP="00D86FE0" w:rsidRDefault="00E6500C" w14:paraId="3E20548F" w14:textId="6F72A4F4">
      <w:pPr>
        <w:pStyle w:val="Textoindependiente"/>
        <w:tabs>
          <w:tab w:val="left" w:pos="284"/>
        </w:tabs>
        <w:rPr>
          <w:rStyle w:val="Textoennegrita"/>
          <w:rFonts w:ascii="Arial" w:hAnsi="Arial" w:cs="Arial"/>
          <w:sz w:val="23"/>
          <w:szCs w:val="23"/>
          <w:shd w:val="clear" w:color="auto" w:fill="F7F7F7"/>
        </w:rPr>
      </w:pPr>
    </w:p>
    <w:p w:rsidRPr="003D0ADA" w:rsidR="00C926CB" w:rsidP="00D86FE0" w:rsidRDefault="00AB60F9" w14:paraId="61B4F0EB" w14:textId="7A5A12DA">
      <w:pPr>
        <w:pStyle w:val="Textoindependiente"/>
        <w:tabs>
          <w:tab w:val="left" w:pos="284"/>
        </w:tabs>
        <w:rPr>
          <w:rFonts w:ascii="Arial" w:hAnsi="Arial" w:cs="Arial"/>
          <w:sz w:val="22"/>
          <w:szCs w:val="22"/>
        </w:rPr>
      </w:pPr>
      <w:r w:rsidRPr="5AFEBD85">
        <w:rPr>
          <w:rFonts w:ascii="Arial" w:hAnsi="Arial" w:cs="Arial"/>
          <w:sz w:val="22"/>
          <w:szCs w:val="22"/>
          <w:lang w:val="es-CO"/>
        </w:rPr>
        <w:t>Asim</w:t>
      </w:r>
      <w:r w:rsidRPr="5AFEBD85" w:rsidR="00BF2E2C">
        <w:rPr>
          <w:rFonts w:ascii="Arial" w:hAnsi="Arial" w:cs="Arial"/>
          <w:sz w:val="22"/>
          <w:szCs w:val="22"/>
          <w:lang w:val="es-CO"/>
        </w:rPr>
        <w:t xml:space="preserve">ismo, se observa que, en el mes de </w:t>
      </w:r>
      <w:r w:rsidR="00A55A33">
        <w:rPr>
          <w:rFonts w:ascii="Arial" w:hAnsi="Arial" w:cs="Arial"/>
          <w:sz w:val="22"/>
          <w:szCs w:val="22"/>
          <w:lang w:val="es-CO"/>
        </w:rPr>
        <w:t>abril</w:t>
      </w:r>
      <w:r w:rsidRPr="5AFEBD85" w:rsidR="00BF2E2C">
        <w:rPr>
          <w:rFonts w:ascii="Arial" w:hAnsi="Arial" w:cs="Arial"/>
          <w:sz w:val="22"/>
          <w:szCs w:val="22"/>
          <w:lang w:val="es-CO"/>
        </w:rPr>
        <w:t xml:space="preserve"> de 202</w:t>
      </w:r>
      <w:r w:rsidRPr="5AFEBD85" w:rsidR="35CAECC0">
        <w:rPr>
          <w:rFonts w:ascii="Arial" w:hAnsi="Arial" w:cs="Arial"/>
          <w:sz w:val="22"/>
          <w:szCs w:val="22"/>
          <w:lang w:val="es-CO"/>
        </w:rPr>
        <w:t>6</w:t>
      </w:r>
      <w:r w:rsidRPr="5AFEBD85" w:rsidR="00BF2E2C">
        <w:rPr>
          <w:rFonts w:ascii="Arial" w:hAnsi="Arial" w:cs="Arial"/>
          <w:sz w:val="22"/>
          <w:szCs w:val="22"/>
          <w:lang w:val="es-CO"/>
        </w:rPr>
        <w:t xml:space="preserve">, </w:t>
      </w:r>
      <w:r w:rsidRPr="00A55A33" w:rsidR="00A55A33">
        <w:rPr>
          <w:rFonts w:ascii="Arial" w:hAnsi="Arial" w:cs="Arial"/>
          <w:sz w:val="22"/>
          <w:szCs w:val="22"/>
          <w:lang w:val="es-CO"/>
        </w:rPr>
        <w:t>el número de personas ocupadas en el total nacional fue 24.277 mil personas. Las ramas que más aportaron positivamente a la variación de la población ocupada fueron Administración pública y defensa, educación y atención de la salud humana (1,0 puntos porcentuales); Construcción (0,6 puntos porcentuales) y Actividades artísticas, entretenimiento, recreación y otras actividades de servicios (0,6 puntos porcentuales)</w:t>
      </w:r>
      <w:r w:rsidR="00A55A33">
        <w:rPr>
          <w:rFonts w:ascii="Arial" w:hAnsi="Arial" w:cs="Arial"/>
          <w:sz w:val="22"/>
          <w:szCs w:val="22"/>
          <w:lang w:val="es-CO"/>
        </w:rPr>
        <w:t xml:space="preserve"> </w:t>
      </w:r>
      <w:r w:rsidR="00CD3146">
        <w:rPr>
          <w:rFonts w:ascii="Arial" w:hAnsi="Arial" w:cs="Arial"/>
          <w:sz w:val="22"/>
          <w:szCs w:val="22"/>
          <w:lang w:val="es-CO"/>
        </w:rPr>
        <w:t>c</w:t>
      </w:r>
      <w:r w:rsidRPr="5AFEBD85" w:rsidR="00BF2E2C">
        <w:rPr>
          <w:rFonts w:ascii="Arial" w:hAnsi="Arial" w:cs="Arial"/>
          <w:sz w:val="22"/>
          <w:szCs w:val="22"/>
          <w:lang w:val="es-CO"/>
        </w:rPr>
        <w:t xml:space="preserve">omo se puede observar en la siguiente tabla: </w:t>
      </w:r>
    </w:p>
    <w:p w:rsidRPr="003D0ADA" w:rsidR="00D86FE0" w:rsidP="00D86FE0" w:rsidRDefault="00D86FE0" w14:paraId="7A971293" w14:textId="77777777">
      <w:pPr>
        <w:pStyle w:val="Textoindependiente"/>
        <w:tabs>
          <w:tab w:val="left" w:pos="284"/>
        </w:tabs>
        <w:rPr>
          <w:rFonts w:ascii="Arial" w:hAnsi="Arial" w:cs="Arial"/>
          <w:sz w:val="22"/>
          <w:szCs w:val="22"/>
        </w:rPr>
      </w:pPr>
    </w:p>
    <w:p w:rsidRPr="003D0ADA" w:rsidR="00D86FE0" w:rsidP="00D86FE0" w:rsidRDefault="00D86FE0" w14:paraId="5E7E93B2" w14:textId="77777777">
      <w:pPr>
        <w:pStyle w:val="Textoindependiente"/>
        <w:tabs>
          <w:tab w:val="left" w:pos="284"/>
        </w:tabs>
        <w:rPr>
          <w:rFonts w:ascii="Arial" w:hAnsi="Arial" w:cs="Arial"/>
          <w:sz w:val="22"/>
          <w:szCs w:val="22"/>
        </w:rPr>
      </w:pPr>
    </w:p>
    <w:p w:rsidRPr="003D0ADA" w:rsidR="00D86FE0" w:rsidP="00D86FE0" w:rsidRDefault="00D86FE0" w14:paraId="29000BC0" w14:textId="77777777">
      <w:pPr>
        <w:pStyle w:val="Textoindependiente"/>
        <w:tabs>
          <w:tab w:val="left" w:pos="284"/>
        </w:tabs>
        <w:rPr>
          <w:rFonts w:ascii="Arial" w:hAnsi="Arial" w:cs="Arial"/>
          <w:sz w:val="22"/>
          <w:szCs w:val="22"/>
        </w:rPr>
      </w:pPr>
    </w:p>
    <w:p w:rsidRPr="003D0ADA" w:rsidR="00D86FE0" w:rsidP="00D86FE0" w:rsidRDefault="00D86FE0" w14:paraId="12719625" w14:textId="77777777">
      <w:pPr>
        <w:pStyle w:val="Textoindependiente"/>
        <w:tabs>
          <w:tab w:val="left" w:pos="284"/>
        </w:tabs>
        <w:rPr>
          <w:rFonts w:ascii="Arial" w:hAnsi="Arial" w:cs="Arial"/>
          <w:sz w:val="22"/>
          <w:szCs w:val="22"/>
        </w:rPr>
      </w:pPr>
    </w:p>
    <w:p w:rsidRPr="003D0ADA" w:rsidR="00D86FE0" w:rsidP="00D86FE0" w:rsidRDefault="00D86FE0" w14:paraId="6A52A51E" w14:textId="35525528">
      <w:pPr>
        <w:pStyle w:val="Textoindependiente"/>
        <w:tabs>
          <w:tab w:val="left" w:pos="284"/>
        </w:tabs>
        <w:rPr>
          <w:rFonts w:ascii="Arial" w:hAnsi="Arial" w:cs="Arial"/>
          <w:sz w:val="22"/>
          <w:szCs w:val="22"/>
        </w:rPr>
      </w:pPr>
    </w:p>
    <w:p w:rsidRPr="003D0ADA" w:rsidR="00B7427C" w:rsidP="00D86FE0" w:rsidRDefault="00B7427C" w14:paraId="3299A690" w14:textId="09746954">
      <w:pPr>
        <w:pStyle w:val="Textoindependiente"/>
        <w:tabs>
          <w:tab w:val="left" w:pos="284"/>
        </w:tabs>
        <w:rPr>
          <w:rFonts w:ascii="Arial" w:hAnsi="Arial" w:cs="Arial"/>
          <w:sz w:val="22"/>
          <w:szCs w:val="22"/>
        </w:rPr>
      </w:pPr>
    </w:p>
    <w:p w:rsidRPr="003D0ADA" w:rsidR="00B7427C" w:rsidP="00D86FE0" w:rsidRDefault="00B7427C" w14:paraId="51F978CE" w14:textId="53943239">
      <w:pPr>
        <w:pStyle w:val="Textoindependiente"/>
        <w:tabs>
          <w:tab w:val="left" w:pos="284"/>
        </w:tabs>
        <w:rPr>
          <w:rFonts w:ascii="Arial" w:hAnsi="Arial" w:cs="Arial"/>
          <w:sz w:val="22"/>
          <w:szCs w:val="22"/>
        </w:rPr>
      </w:pPr>
    </w:p>
    <w:p w:rsidRPr="003D0ADA" w:rsidR="00B7427C" w:rsidP="00D86FE0" w:rsidRDefault="00B7427C" w14:paraId="77578613" w14:textId="0837EFDD">
      <w:pPr>
        <w:pStyle w:val="Textoindependiente"/>
        <w:tabs>
          <w:tab w:val="left" w:pos="284"/>
        </w:tabs>
        <w:rPr>
          <w:rFonts w:ascii="Arial" w:hAnsi="Arial" w:cs="Arial"/>
          <w:sz w:val="22"/>
          <w:szCs w:val="22"/>
        </w:rPr>
      </w:pPr>
    </w:p>
    <w:p w:rsidR="00B7427C" w:rsidP="00D86FE0" w:rsidRDefault="00B7427C" w14:paraId="64F996AC" w14:textId="3D5B4BB2">
      <w:pPr>
        <w:pStyle w:val="Textoindependiente"/>
        <w:tabs>
          <w:tab w:val="left" w:pos="284"/>
        </w:tabs>
        <w:rPr>
          <w:rFonts w:ascii="Arial" w:hAnsi="Arial" w:cs="Arial"/>
          <w:sz w:val="22"/>
          <w:szCs w:val="22"/>
        </w:rPr>
      </w:pPr>
    </w:p>
    <w:p w:rsidR="00CD3146" w:rsidP="00D86FE0" w:rsidRDefault="00CD3146" w14:paraId="7273CDBE" w14:textId="28371E03">
      <w:pPr>
        <w:pStyle w:val="Textoindependiente"/>
        <w:tabs>
          <w:tab w:val="left" w:pos="284"/>
        </w:tabs>
        <w:rPr>
          <w:rFonts w:ascii="Arial" w:hAnsi="Arial" w:cs="Arial"/>
          <w:sz w:val="22"/>
          <w:szCs w:val="22"/>
        </w:rPr>
      </w:pPr>
    </w:p>
    <w:p w:rsidR="00CD3146" w:rsidP="00D86FE0" w:rsidRDefault="00CD3146" w14:paraId="65871EEC" w14:textId="125A83DC">
      <w:pPr>
        <w:pStyle w:val="Textoindependiente"/>
        <w:tabs>
          <w:tab w:val="left" w:pos="284"/>
        </w:tabs>
        <w:rPr>
          <w:rFonts w:ascii="Arial" w:hAnsi="Arial" w:cs="Arial"/>
          <w:sz w:val="22"/>
          <w:szCs w:val="22"/>
        </w:rPr>
      </w:pPr>
    </w:p>
    <w:p w:rsidR="00CD3146" w:rsidP="00D86FE0" w:rsidRDefault="00CD3146" w14:paraId="35815D39" w14:textId="11829896">
      <w:pPr>
        <w:pStyle w:val="Textoindependiente"/>
        <w:tabs>
          <w:tab w:val="left" w:pos="284"/>
        </w:tabs>
        <w:rPr>
          <w:rFonts w:ascii="Arial" w:hAnsi="Arial" w:cs="Arial"/>
          <w:sz w:val="22"/>
          <w:szCs w:val="22"/>
        </w:rPr>
      </w:pPr>
    </w:p>
    <w:p w:rsidRPr="003D0ADA" w:rsidR="00CD3146" w:rsidP="00D86FE0" w:rsidRDefault="00CD3146" w14:paraId="5A246930" w14:textId="77777777">
      <w:pPr>
        <w:pStyle w:val="Textoindependiente"/>
        <w:tabs>
          <w:tab w:val="left" w:pos="284"/>
        </w:tabs>
        <w:rPr>
          <w:rFonts w:ascii="Arial" w:hAnsi="Arial" w:cs="Arial"/>
          <w:sz w:val="22"/>
          <w:szCs w:val="22"/>
        </w:rPr>
      </w:pPr>
    </w:p>
    <w:p w:rsidRPr="003D0ADA" w:rsidR="00B7427C" w:rsidP="00D86FE0" w:rsidRDefault="00B7427C" w14:paraId="12A24026" w14:textId="5D7ED7E0">
      <w:pPr>
        <w:pStyle w:val="Textoindependiente"/>
        <w:tabs>
          <w:tab w:val="left" w:pos="284"/>
        </w:tabs>
        <w:rPr>
          <w:rFonts w:ascii="Arial" w:hAnsi="Arial" w:cs="Arial"/>
          <w:sz w:val="22"/>
          <w:szCs w:val="22"/>
        </w:rPr>
      </w:pPr>
    </w:p>
    <w:p w:rsidR="00BE37CD" w:rsidP="74764FA5" w:rsidRDefault="4531570E" w14:paraId="17C2BD14" w14:textId="27C75A17">
      <w:pPr>
        <w:pStyle w:val="Textoindependiente"/>
        <w:tabs>
          <w:tab w:val="left" w:pos="284"/>
        </w:tabs>
        <w:rPr>
          <w:rFonts w:ascii="Arial" w:hAnsi="Arial" w:cs="Arial"/>
          <w:sz w:val="21"/>
          <w:szCs w:val="21"/>
          <w:lang w:val="es-CO"/>
        </w:rPr>
      </w:pPr>
      <w:r w:rsidRPr="1B198F3E">
        <w:rPr>
          <w:rFonts w:ascii="Arial" w:hAnsi="Arial" w:cs="Arial"/>
          <w:sz w:val="21"/>
          <w:szCs w:val="21"/>
          <w:lang w:val="es-CO"/>
        </w:rPr>
        <w:t xml:space="preserve">Tabla </w:t>
      </w:r>
      <w:r w:rsidRPr="1B198F3E" w:rsidR="1CCF6D71">
        <w:rPr>
          <w:rFonts w:ascii="Arial" w:hAnsi="Arial" w:cs="Arial"/>
          <w:sz w:val="21"/>
          <w:szCs w:val="21"/>
          <w:lang w:val="es-CO"/>
        </w:rPr>
        <w:t>4</w:t>
      </w:r>
      <w:r w:rsidRPr="1B198F3E" w:rsidR="31E89FF9">
        <w:rPr>
          <w:rFonts w:ascii="Arial" w:hAnsi="Arial" w:cs="Arial"/>
          <w:sz w:val="21"/>
          <w:szCs w:val="21"/>
          <w:lang w:val="es-CO"/>
        </w:rPr>
        <w:t xml:space="preserve"> del Sec</w:t>
      </w:r>
      <w:r w:rsidRPr="1B198F3E" w:rsidR="0BA08200">
        <w:rPr>
          <w:rFonts w:ascii="Arial" w:hAnsi="Arial" w:cs="Arial"/>
          <w:sz w:val="21"/>
          <w:szCs w:val="21"/>
          <w:lang w:val="es-CO"/>
        </w:rPr>
        <w:t>t</w:t>
      </w:r>
      <w:r w:rsidRPr="1B198F3E" w:rsidR="31E89FF9">
        <w:rPr>
          <w:rFonts w:ascii="Arial" w:hAnsi="Arial" w:cs="Arial"/>
          <w:sz w:val="21"/>
          <w:szCs w:val="21"/>
          <w:lang w:val="es-CO"/>
        </w:rPr>
        <w:t>or</w:t>
      </w:r>
    </w:p>
    <w:p w:rsidR="00BF2E2C" w:rsidP="74764FA5" w:rsidRDefault="00BF2E2C" w14:paraId="050C73C3" w14:textId="709C3C84">
      <w:pPr>
        <w:pStyle w:val="Textoindependiente"/>
        <w:tabs>
          <w:tab w:val="left" w:pos="284"/>
        </w:tabs>
        <w:rPr>
          <w:rFonts w:ascii="Arial" w:hAnsi="Arial" w:cs="Arial"/>
          <w:sz w:val="21"/>
          <w:szCs w:val="21"/>
          <w:lang w:val="es-CO"/>
        </w:rPr>
      </w:pPr>
    </w:p>
    <w:p w:rsidRPr="003D0ADA" w:rsidR="00BF2E2C" w:rsidP="00BF2E2C" w:rsidRDefault="00A55A33" w14:paraId="545896B8" w14:textId="57965231">
      <w:pPr>
        <w:pStyle w:val="Textoindependiente"/>
        <w:tabs>
          <w:tab w:val="left" w:pos="284"/>
        </w:tabs>
        <w:rPr>
          <w:rFonts w:ascii="Arial" w:hAnsi="Arial" w:cs="Arial"/>
          <w:b/>
          <w:bCs/>
          <w:sz w:val="21"/>
          <w:szCs w:val="21"/>
          <w:lang w:val="es-CO"/>
        </w:rPr>
      </w:pPr>
      <w:r w:rsidRPr="00A55A33">
        <w:rPr>
          <w:rFonts w:ascii="Arial" w:hAnsi="Arial" w:cs="Arial"/>
          <w:noProof/>
          <w:sz w:val="14"/>
          <w:szCs w:val="14"/>
          <w:lang w:val="es-CO" w:eastAsia="es-CO"/>
        </w:rPr>
        <w:drawing>
          <wp:inline distT="0" distB="0" distL="0" distR="0" wp14:anchorId="0EA34746" wp14:editId="28F211B6">
            <wp:extent cx="5524979" cy="3886537"/>
            <wp:effectExtent l="0" t="0" r="0" b="0"/>
            <wp:docPr id="9453894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89406" name=""/>
                    <pic:cNvPicPr/>
                  </pic:nvPicPr>
                  <pic:blipFill>
                    <a:blip r:embed="rId19"/>
                    <a:stretch>
                      <a:fillRect/>
                    </a:stretch>
                  </pic:blipFill>
                  <pic:spPr>
                    <a:xfrm>
                      <a:off x="0" y="0"/>
                      <a:ext cx="5524979" cy="3886537"/>
                    </a:xfrm>
                    <a:prstGeom prst="rect">
                      <a:avLst/>
                    </a:prstGeom>
                  </pic:spPr>
                </pic:pic>
              </a:graphicData>
            </a:graphic>
          </wp:inline>
        </w:drawing>
      </w:r>
      <w:r w:rsidRPr="5AFEBD85" w:rsidR="00CD3146">
        <w:rPr>
          <w:rFonts w:ascii="Arial" w:hAnsi="Arial" w:cs="Arial"/>
          <w:sz w:val="14"/>
          <w:szCs w:val="14"/>
          <w:lang w:eastAsia="es-CO"/>
        </w:rPr>
        <w:t xml:space="preserve"> </w:t>
      </w:r>
      <w:r w:rsidRPr="5AFEBD85" w:rsidR="00BF2E2C">
        <w:rPr>
          <w:rFonts w:ascii="Arial" w:hAnsi="Arial" w:cs="Arial"/>
          <w:sz w:val="14"/>
          <w:szCs w:val="14"/>
          <w:lang w:eastAsia="es-CO"/>
        </w:rPr>
        <w:t xml:space="preserve">Fuente: DANE. </w:t>
      </w:r>
      <w:r w:rsidRPr="5AFEBD85" w:rsidR="00BF2E2C">
        <w:rPr>
          <w:rFonts w:ascii="Arial" w:hAnsi="Arial" w:cs="Arial"/>
          <w:i/>
          <w:iCs/>
          <w:sz w:val="14"/>
          <w:szCs w:val="14"/>
          <w:lang w:eastAsia="es-CO"/>
        </w:rPr>
        <w:t xml:space="preserve">Boletín </w:t>
      </w:r>
      <w:r w:rsidRPr="5AFEBD85" w:rsidR="00BF2E2C">
        <w:rPr>
          <w:rFonts w:ascii="Arial" w:hAnsi="Arial" w:cs="Arial"/>
          <w:sz w:val="14"/>
          <w:szCs w:val="14"/>
          <w:lang w:eastAsia="es-CO"/>
        </w:rPr>
        <w:t xml:space="preserve">técnico Principales indicadores del mercado laboral </w:t>
      </w:r>
      <w:r>
        <w:rPr>
          <w:rFonts w:ascii="Arial" w:hAnsi="Arial" w:cs="Arial"/>
          <w:sz w:val="14"/>
          <w:szCs w:val="14"/>
          <w:lang w:eastAsia="es-CO"/>
        </w:rPr>
        <w:t>abril</w:t>
      </w:r>
      <w:r w:rsidRPr="5AFEBD85" w:rsidR="76F3EBDA">
        <w:rPr>
          <w:rFonts w:ascii="Arial" w:hAnsi="Arial" w:cs="Arial"/>
          <w:sz w:val="14"/>
          <w:szCs w:val="14"/>
          <w:lang w:eastAsia="es-CO"/>
        </w:rPr>
        <w:t xml:space="preserve"> </w:t>
      </w:r>
      <w:r w:rsidRPr="5AFEBD85" w:rsidR="00BF2E2C">
        <w:rPr>
          <w:rFonts w:ascii="Arial" w:hAnsi="Arial" w:cs="Arial"/>
          <w:sz w:val="14"/>
          <w:szCs w:val="14"/>
          <w:lang w:eastAsia="es-CO"/>
        </w:rPr>
        <w:t>202</w:t>
      </w:r>
      <w:r w:rsidRPr="5AFEBD85" w:rsidR="7AF4F376">
        <w:rPr>
          <w:rFonts w:ascii="Arial" w:hAnsi="Arial" w:cs="Arial"/>
          <w:sz w:val="14"/>
          <w:szCs w:val="14"/>
          <w:lang w:eastAsia="es-CO"/>
        </w:rPr>
        <w:t>6</w:t>
      </w:r>
      <w:r w:rsidRPr="5AFEBD85" w:rsidR="00BF2E2C">
        <w:rPr>
          <w:rFonts w:ascii="Arial" w:hAnsi="Arial" w:cs="Arial"/>
          <w:i/>
          <w:iCs/>
          <w:sz w:val="14"/>
          <w:szCs w:val="14"/>
          <w:lang w:eastAsia="es-CO"/>
        </w:rPr>
        <w:t xml:space="preserve">. </w:t>
      </w:r>
      <w:r w:rsidRPr="5AFEBD85" w:rsidR="00BF2E2C">
        <w:rPr>
          <w:rFonts w:ascii="Arial" w:hAnsi="Arial" w:cs="Arial"/>
          <w:sz w:val="14"/>
          <w:szCs w:val="14"/>
          <w:lang w:eastAsia="es-CO"/>
        </w:rPr>
        <w:t>Disponible:</w:t>
      </w:r>
      <w:r w:rsidRPr="5AFEBD85" w:rsidR="00BF2E2C">
        <w:rPr>
          <w:rFonts w:ascii="Arial" w:hAnsi="Arial" w:cs="Arial"/>
        </w:rPr>
        <w:t xml:space="preserve"> </w:t>
      </w:r>
      <w:hyperlink r:id="rId20">
        <w:r w:rsidRPr="5AFEBD85" w:rsidR="634E7FEC">
          <w:rPr>
            <w:rStyle w:val="Hipervnculo"/>
            <w:rFonts w:ascii="Arial" w:hAnsi="Arial" w:cs="Arial"/>
            <w:sz w:val="14"/>
            <w:szCs w:val="14"/>
          </w:rPr>
          <w:t>https://www.dane.gov.co/index.php/estadisticas-por-tema/mercado-laboral/empleo-y-desempleo</w:t>
        </w:r>
      </w:hyperlink>
      <w:r w:rsidRPr="5AFEBD85" w:rsidR="634E7FEC">
        <w:rPr>
          <w:rFonts w:ascii="Arial" w:hAnsi="Arial" w:cs="Arial"/>
          <w:sz w:val="14"/>
          <w:szCs w:val="14"/>
        </w:rPr>
        <w:t xml:space="preserve"> </w:t>
      </w:r>
      <w:r w:rsidRPr="5AFEBD85" w:rsidR="00BF2E2C">
        <w:rPr>
          <w:rFonts w:ascii="Arial" w:hAnsi="Arial" w:cs="Arial"/>
          <w:sz w:val="14"/>
          <w:szCs w:val="14"/>
          <w:lang w:eastAsia="es-CO"/>
        </w:rPr>
        <w:t xml:space="preserve"> Fecha</w:t>
      </w:r>
      <w:r w:rsidRPr="5AFEBD85" w:rsidR="00BF2E2C">
        <w:rPr>
          <w:rFonts w:ascii="Arial" w:hAnsi="Arial" w:cs="Arial"/>
          <w:sz w:val="14"/>
          <w:szCs w:val="14"/>
        </w:rPr>
        <w:t xml:space="preserve"> de consulta: </w:t>
      </w:r>
      <w:r>
        <w:rPr>
          <w:rFonts w:ascii="Arial" w:hAnsi="Arial" w:cs="Arial"/>
          <w:sz w:val="14"/>
          <w:szCs w:val="14"/>
        </w:rPr>
        <w:t>10</w:t>
      </w:r>
      <w:r w:rsidRPr="5AFEBD85" w:rsidR="00BF2E2C">
        <w:rPr>
          <w:rFonts w:ascii="Arial" w:hAnsi="Arial" w:cs="Arial"/>
          <w:sz w:val="14"/>
          <w:szCs w:val="14"/>
        </w:rPr>
        <w:t xml:space="preserve"> de </w:t>
      </w:r>
      <w:r>
        <w:rPr>
          <w:rFonts w:ascii="Arial" w:hAnsi="Arial" w:cs="Arial"/>
          <w:sz w:val="14"/>
          <w:szCs w:val="14"/>
        </w:rPr>
        <w:t>junio</w:t>
      </w:r>
      <w:r w:rsidRPr="5AFEBD85" w:rsidR="73FF39CC">
        <w:rPr>
          <w:rFonts w:ascii="Arial" w:hAnsi="Arial" w:cs="Arial"/>
          <w:sz w:val="14"/>
          <w:szCs w:val="14"/>
        </w:rPr>
        <w:t xml:space="preserve"> </w:t>
      </w:r>
      <w:r w:rsidRPr="5AFEBD85" w:rsidR="00BF2E2C">
        <w:rPr>
          <w:rFonts w:ascii="Arial" w:hAnsi="Arial" w:cs="Arial"/>
          <w:sz w:val="14"/>
          <w:szCs w:val="14"/>
        </w:rPr>
        <w:t>de 202</w:t>
      </w:r>
      <w:r w:rsidRPr="5AFEBD85" w:rsidR="7A28FE44">
        <w:rPr>
          <w:rFonts w:ascii="Arial" w:hAnsi="Arial" w:cs="Arial"/>
          <w:sz w:val="14"/>
          <w:szCs w:val="14"/>
        </w:rPr>
        <w:t>6</w:t>
      </w:r>
      <w:r w:rsidRPr="5AFEBD85" w:rsidR="00BF2E2C">
        <w:rPr>
          <w:rFonts w:ascii="Arial" w:hAnsi="Arial" w:cs="Arial"/>
          <w:sz w:val="14"/>
          <w:szCs w:val="14"/>
        </w:rPr>
        <w:t>.</w:t>
      </w:r>
    </w:p>
    <w:p w:rsidRPr="003D0ADA" w:rsidR="00D86FE0" w:rsidP="00D86FE0" w:rsidRDefault="00D86FE0" w14:paraId="458B1A74" w14:textId="77777777">
      <w:pPr>
        <w:pStyle w:val="Textoindependiente"/>
        <w:tabs>
          <w:tab w:val="left" w:pos="284"/>
        </w:tabs>
        <w:rPr>
          <w:rFonts w:ascii="Arial" w:hAnsi="Arial" w:cs="Arial"/>
          <w:noProof/>
          <w:sz w:val="22"/>
          <w:szCs w:val="22"/>
        </w:rPr>
      </w:pPr>
    </w:p>
    <w:p w:rsidRPr="003D0ADA" w:rsidR="00D86FE0" w:rsidP="00D86FE0" w:rsidRDefault="00AB60F9" w14:paraId="3DA9F2F5" w14:textId="10D2834E">
      <w:pPr>
        <w:pStyle w:val="Textoindependiente"/>
        <w:tabs>
          <w:tab w:val="left" w:pos="284"/>
        </w:tabs>
        <w:rPr>
          <w:rFonts w:ascii="Arial" w:hAnsi="Arial" w:cs="Arial"/>
          <w:noProof/>
          <w:sz w:val="22"/>
          <w:szCs w:val="22"/>
        </w:rPr>
      </w:pPr>
      <w:r w:rsidRPr="5AFEBD85">
        <w:rPr>
          <w:rFonts w:ascii="Arial" w:hAnsi="Arial" w:cs="Arial"/>
          <w:noProof/>
          <w:sz w:val="22"/>
          <w:szCs w:val="22"/>
        </w:rPr>
        <w:t xml:space="preserve">Se observa que </w:t>
      </w:r>
      <w:r w:rsidRPr="5AFEBD85" w:rsidR="00B64546">
        <w:rPr>
          <w:rFonts w:ascii="Arial" w:hAnsi="Arial" w:cs="Arial"/>
          <w:noProof/>
          <w:sz w:val="22"/>
          <w:szCs w:val="22"/>
        </w:rPr>
        <w:t xml:space="preserve">en la </w:t>
      </w:r>
      <w:r w:rsidRPr="5AFEBD85" w:rsidR="47190C70">
        <w:rPr>
          <w:rFonts w:ascii="Arial" w:hAnsi="Arial" w:cs="Arial"/>
          <w:noProof/>
          <w:sz w:val="22"/>
          <w:szCs w:val="22"/>
        </w:rPr>
        <w:t>industria manufacturera</w:t>
      </w:r>
      <w:r w:rsidRPr="5AFEBD85" w:rsidR="00B64546">
        <w:rPr>
          <w:rFonts w:ascii="Arial" w:hAnsi="Arial" w:cs="Arial"/>
          <w:noProof/>
          <w:sz w:val="22"/>
          <w:szCs w:val="22"/>
        </w:rPr>
        <w:t xml:space="preserve"> se presenta un porcentaje positivo en la distrubucion del </w:t>
      </w:r>
      <w:r w:rsidR="006E7E78">
        <w:rPr>
          <w:rFonts w:ascii="Arial" w:hAnsi="Arial" w:cs="Arial"/>
          <w:noProof/>
          <w:sz w:val="22"/>
          <w:szCs w:val="22"/>
        </w:rPr>
        <w:t>10.6</w:t>
      </w:r>
      <w:r w:rsidRPr="5AFEBD85" w:rsidR="00B64546">
        <w:rPr>
          <w:rFonts w:ascii="Arial" w:hAnsi="Arial" w:cs="Arial"/>
          <w:noProof/>
          <w:sz w:val="22"/>
          <w:szCs w:val="22"/>
        </w:rPr>
        <w:t>%</w:t>
      </w:r>
      <w:r w:rsidRPr="5AFEBD85" w:rsidR="3A75F2F1">
        <w:rPr>
          <w:rFonts w:ascii="Arial" w:hAnsi="Arial" w:cs="Arial"/>
          <w:noProof/>
          <w:sz w:val="22"/>
          <w:szCs w:val="22"/>
        </w:rPr>
        <w:t>,</w:t>
      </w:r>
      <w:r w:rsidRPr="5AFEBD85" w:rsidR="00B64546">
        <w:rPr>
          <w:rFonts w:ascii="Arial" w:hAnsi="Arial" w:cs="Arial"/>
          <w:noProof/>
          <w:sz w:val="22"/>
          <w:szCs w:val="22"/>
        </w:rPr>
        <w:t xml:space="preserve"> de variacion absolut</w:t>
      </w:r>
      <w:r w:rsidRPr="5AFEBD85" w:rsidR="1E83A233">
        <w:rPr>
          <w:rFonts w:ascii="Arial" w:hAnsi="Arial" w:cs="Arial"/>
          <w:noProof/>
          <w:sz w:val="22"/>
          <w:szCs w:val="22"/>
        </w:rPr>
        <w:t>a</w:t>
      </w:r>
      <w:r w:rsidRPr="5AFEBD85" w:rsidR="00B64546">
        <w:rPr>
          <w:rFonts w:ascii="Arial" w:hAnsi="Arial" w:cs="Arial"/>
          <w:noProof/>
          <w:sz w:val="22"/>
          <w:szCs w:val="22"/>
        </w:rPr>
        <w:t xml:space="preserve"> </w:t>
      </w:r>
      <w:r w:rsidR="006E7E78">
        <w:rPr>
          <w:rFonts w:ascii="Arial" w:hAnsi="Arial" w:cs="Arial"/>
          <w:noProof/>
          <w:sz w:val="22"/>
          <w:szCs w:val="22"/>
        </w:rPr>
        <w:t>un crecimiento del 12</w:t>
      </w:r>
      <w:r w:rsidRPr="5AFEBD85" w:rsidR="441FEBE7">
        <w:rPr>
          <w:rFonts w:ascii="Arial" w:hAnsi="Arial" w:cs="Arial"/>
          <w:noProof/>
          <w:sz w:val="22"/>
          <w:szCs w:val="22"/>
        </w:rPr>
        <w:t>%</w:t>
      </w:r>
      <w:r w:rsidRPr="5AFEBD85" w:rsidR="00B64546">
        <w:rPr>
          <w:rFonts w:ascii="Arial" w:hAnsi="Arial" w:cs="Arial"/>
          <w:noProof/>
          <w:sz w:val="22"/>
          <w:szCs w:val="22"/>
        </w:rPr>
        <w:t xml:space="preserve"> y de contribucion de puntos porcentuales del </w:t>
      </w:r>
      <w:r w:rsidR="006E7E78">
        <w:rPr>
          <w:rFonts w:ascii="Arial" w:hAnsi="Arial" w:cs="Arial"/>
          <w:noProof/>
          <w:sz w:val="22"/>
          <w:szCs w:val="22"/>
        </w:rPr>
        <w:t>0.0</w:t>
      </w:r>
      <w:r w:rsidRPr="5AFEBD85" w:rsidR="00B64546">
        <w:rPr>
          <w:rFonts w:ascii="Arial" w:hAnsi="Arial" w:cs="Arial"/>
          <w:noProof/>
          <w:sz w:val="22"/>
          <w:szCs w:val="22"/>
        </w:rPr>
        <w:t>%</w:t>
      </w:r>
      <w:r w:rsidR="00CD3146">
        <w:rPr>
          <w:rFonts w:ascii="Arial" w:hAnsi="Arial" w:cs="Arial"/>
          <w:noProof/>
          <w:sz w:val="22"/>
          <w:szCs w:val="22"/>
        </w:rPr>
        <w:t>, para lo cual se evidencio una disminusión en la ocupación poblacional para esta actividad en especifico.</w:t>
      </w:r>
    </w:p>
    <w:p w:rsidRPr="003D0ADA" w:rsidR="00CC08B3" w:rsidP="4198FB2C" w:rsidRDefault="00CC08B3" w14:paraId="32617600" w14:textId="263BC52F">
      <w:pPr>
        <w:pStyle w:val="Textoindependiente"/>
        <w:tabs>
          <w:tab w:val="left" w:pos="284"/>
        </w:tabs>
        <w:rPr>
          <w:rFonts w:ascii="Arial" w:hAnsi="Arial" w:cs="Arial"/>
          <w:sz w:val="21"/>
          <w:szCs w:val="21"/>
          <w:lang w:val="es-CO"/>
        </w:rPr>
      </w:pPr>
    </w:p>
    <w:p w:rsidR="4198FB2C" w:rsidP="4198FB2C" w:rsidRDefault="4198FB2C" w14:paraId="7F33786A" w14:textId="0602A601">
      <w:pPr>
        <w:pStyle w:val="Textoindependiente"/>
        <w:tabs>
          <w:tab w:val="left" w:pos="284"/>
        </w:tabs>
        <w:rPr>
          <w:rFonts w:ascii="Arial" w:hAnsi="Arial" w:cs="Arial"/>
          <w:sz w:val="21"/>
          <w:szCs w:val="21"/>
          <w:lang w:val="es-CO"/>
        </w:rPr>
      </w:pPr>
    </w:p>
    <w:p w:rsidR="6EC0C87C" w:rsidP="4198FB2C" w:rsidRDefault="6EC0C87C" w14:paraId="053F057D" w14:textId="3A22B217">
      <w:pPr>
        <w:pStyle w:val="Textoindependiente"/>
        <w:numPr>
          <w:ilvl w:val="0"/>
          <w:numId w:val="27"/>
        </w:numPr>
        <w:tabs>
          <w:tab w:val="left" w:pos="284"/>
        </w:tabs>
        <w:rPr>
          <w:rFonts w:ascii="Arial" w:hAnsi="Arial" w:cs="Arial"/>
          <w:b/>
          <w:bCs/>
          <w:sz w:val="21"/>
          <w:szCs w:val="21"/>
          <w:lang w:val="es-CO"/>
        </w:rPr>
      </w:pPr>
      <w:r w:rsidRPr="79D8FB7C">
        <w:rPr>
          <w:rFonts w:ascii="Arial" w:hAnsi="Arial" w:cs="Arial"/>
          <w:b/>
          <w:bCs/>
          <w:sz w:val="21"/>
          <w:szCs w:val="21"/>
          <w:lang w:val="es-CO"/>
        </w:rPr>
        <w:t xml:space="preserve">Mercado laboral de la población con discapacidad Trimestre móvil </w:t>
      </w:r>
      <w:r w:rsidR="00CF5806">
        <w:rPr>
          <w:rFonts w:ascii="Arial" w:hAnsi="Arial" w:cs="Arial"/>
          <w:b/>
          <w:bCs/>
          <w:sz w:val="21"/>
          <w:szCs w:val="21"/>
          <w:lang w:val="es-CO"/>
        </w:rPr>
        <w:t>enero a marzo de</w:t>
      </w:r>
      <w:r w:rsidRPr="79D8FB7C">
        <w:rPr>
          <w:rFonts w:ascii="Arial" w:hAnsi="Arial" w:cs="Arial"/>
          <w:b/>
          <w:bCs/>
          <w:sz w:val="21"/>
          <w:szCs w:val="21"/>
          <w:lang w:val="es-CO"/>
        </w:rPr>
        <w:t xml:space="preserve"> 2026</w:t>
      </w:r>
    </w:p>
    <w:p w:rsidR="4198FB2C" w:rsidP="4198FB2C" w:rsidRDefault="4198FB2C" w14:paraId="24383A6E" w14:textId="0BA800FD">
      <w:pPr>
        <w:pStyle w:val="Textoindependiente"/>
        <w:tabs>
          <w:tab w:val="left" w:pos="284"/>
        </w:tabs>
        <w:rPr>
          <w:rFonts w:ascii="Arial" w:hAnsi="Arial" w:cs="Arial"/>
          <w:b/>
          <w:bCs/>
          <w:sz w:val="21"/>
          <w:szCs w:val="21"/>
          <w:lang w:val="es-CO"/>
        </w:rPr>
      </w:pPr>
    </w:p>
    <w:p w:rsidR="00B028ED" w:rsidP="4198FB2C" w:rsidRDefault="00E72D3C" w14:paraId="437B7CC2" w14:textId="07BF8C9F">
      <w:pPr>
        <w:pStyle w:val="Textoindependiente"/>
        <w:tabs>
          <w:tab w:val="left" w:pos="284"/>
        </w:tabs>
        <w:rPr>
          <w:rFonts w:ascii="Arial" w:hAnsi="Arial" w:cs="Arial"/>
          <w:noProof/>
          <w:sz w:val="22"/>
          <w:szCs w:val="22"/>
        </w:rPr>
      </w:pPr>
      <w:r w:rsidRPr="00E72D3C">
        <w:rPr>
          <w:rFonts w:ascii="Arial" w:hAnsi="Arial" w:cs="Arial"/>
          <w:noProof/>
          <w:sz w:val="22"/>
          <w:szCs w:val="22"/>
        </w:rPr>
        <w:t>Durante el trimestre enero – marzo 2026, la tasa global de participación (TGP) de la población con discapacidad fue de 22,8%, en comparación con la TGP de la población sin discapacidad de 66,8%, lo que significa una diferencia negativa de 44,0 puntos porcentuales (p.p.) entre ambas poblaciones.</w:t>
      </w:r>
    </w:p>
    <w:p w:rsidRPr="00B028ED" w:rsidR="00E72D3C" w:rsidP="4198FB2C" w:rsidRDefault="00E72D3C" w14:paraId="72674566" w14:textId="77777777">
      <w:pPr>
        <w:pStyle w:val="Textoindependiente"/>
        <w:tabs>
          <w:tab w:val="left" w:pos="284"/>
        </w:tabs>
        <w:rPr>
          <w:rFonts w:ascii="Arial" w:hAnsi="Arial" w:cs="Arial"/>
          <w:noProof/>
          <w:sz w:val="22"/>
          <w:szCs w:val="22"/>
        </w:rPr>
      </w:pPr>
    </w:p>
    <w:p w:rsidRPr="00E72D3C" w:rsidR="00E72D3C" w:rsidP="00E72D3C" w:rsidRDefault="00E72D3C" w14:paraId="7E4015F1" w14:textId="77777777">
      <w:pPr>
        <w:pStyle w:val="Textoindependiente"/>
        <w:tabs>
          <w:tab w:val="left" w:pos="284"/>
        </w:tabs>
        <w:rPr>
          <w:rFonts w:ascii="Arial" w:hAnsi="Arial" w:cs="Arial"/>
          <w:noProof/>
          <w:sz w:val="22"/>
          <w:szCs w:val="22"/>
          <w:lang w:val="es-CO"/>
        </w:rPr>
      </w:pPr>
      <w:r w:rsidRPr="00E72D3C">
        <w:rPr>
          <w:rFonts w:ascii="Arial" w:hAnsi="Arial" w:cs="Arial"/>
          <w:noProof/>
          <w:sz w:val="22"/>
          <w:szCs w:val="22"/>
          <w:lang w:val="es-CO"/>
        </w:rPr>
        <w:t>En cuanto a la tasa de ocupación, se evidencia que hay una diferencia negativa de 40,1 p.p. entre la población con discapacidad y sin discapacidad, para la primera, esta tasa fue de 20,2% y para la segunda de 60,4%.</w:t>
      </w:r>
    </w:p>
    <w:p w:rsidRPr="00E72D3C" w:rsidR="00E72D3C" w:rsidP="00E72D3C" w:rsidRDefault="00E72D3C" w14:paraId="7B96B2FC" w14:textId="77777777">
      <w:pPr>
        <w:pStyle w:val="Textoindependiente"/>
        <w:tabs>
          <w:tab w:val="left" w:pos="284"/>
        </w:tabs>
        <w:rPr>
          <w:rFonts w:ascii="Arial" w:hAnsi="Arial" w:cs="Arial"/>
          <w:noProof/>
          <w:sz w:val="22"/>
          <w:szCs w:val="22"/>
          <w:lang w:val="es-CO"/>
        </w:rPr>
      </w:pPr>
      <w:r w:rsidRPr="00E72D3C">
        <w:rPr>
          <w:rFonts w:ascii="Arial" w:hAnsi="Arial" w:cs="Arial"/>
          <w:noProof/>
          <w:sz w:val="22"/>
          <w:szCs w:val="22"/>
          <w:lang w:val="es-CO"/>
        </w:rPr>
        <w:br/>
      </w:r>
      <w:r w:rsidRPr="00E72D3C">
        <w:rPr>
          <w:rFonts w:ascii="Arial" w:hAnsi="Arial" w:cs="Arial"/>
          <w:noProof/>
          <w:sz w:val="22"/>
          <w:szCs w:val="22"/>
          <w:lang w:val="es-CO"/>
        </w:rPr>
        <w:t>Por otro lado, al observar la tasa de desocupación se evidencia que existe una diferencia de 1,7p.p. dada por una tasa de 11,3% para la población con discapacidad y 9,6% para las personas sin discapacidad.</w:t>
      </w:r>
    </w:p>
    <w:p w:rsidR="00B028ED" w:rsidP="4198FB2C" w:rsidRDefault="00B028ED" w14:paraId="7D9CB2D3" w14:textId="77777777">
      <w:pPr>
        <w:pStyle w:val="Textoindependiente"/>
        <w:tabs>
          <w:tab w:val="left" w:pos="284"/>
        </w:tabs>
        <w:rPr>
          <w:lang w:val="es-CO"/>
        </w:rPr>
      </w:pPr>
    </w:p>
    <w:p w:rsidR="5A436E59" w:rsidP="4198FB2C" w:rsidRDefault="5A436E59" w14:paraId="472174DC" w14:textId="4AF3AB8A">
      <w:pPr>
        <w:pStyle w:val="Textoindependiente"/>
        <w:tabs>
          <w:tab w:val="left" w:pos="284"/>
        </w:tabs>
        <w:rPr>
          <w:rFonts w:ascii="Arial" w:hAnsi="Arial" w:cs="Arial"/>
          <w:sz w:val="21"/>
          <w:szCs w:val="21"/>
          <w:lang w:val="es-CO"/>
        </w:rPr>
      </w:pPr>
      <w:r w:rsidRPr="4198FB2C">
        <w:rPr>
          <w:rFonts w:ascii="Arial" w:hAnsi="Arial" w:cs="Arial"/>
          <w:sz w:val="21"/>
          <w:szCs w:val="21"/>
          <w:lang w:val="es-CO"/>
        </w:rPr>
        <w:t>Tabla 5 del Sector</w:t>
      </w:r>
    </w:p>
    <w:p w:rsidR="4198FB2C" w:rsidP="4198FB2C" w:rsidRDefault="4198FB2C" w14:paraId="528A9CAA" w14:textId="3801D3E0">
      <w:pPr>
        <w:pStyle w:val="Textoindependiente"/>
        <w:tabs>
          <w:tab w:val="left" w:pos="284"/>
        </w:tabs>
        <w:rPr>
          <w:rFonts w:ascii="Arial" w:hAnsi="Arial" w:cs="Arial"/>
          <w:sz w:val="21"/>
          <w:szCs w:val="21"/>
          <w:lang w:val="es-CO"/>
        </w:rPr>
      </w:pPr>
    </w:p>
    <w:p w:rsidR="5A436E59" w:rsidP="4198FB2C" w:rsidRDefault="00E72D3C" w14:paraId="4A66BE4D" w14:textId="3929F7B1">
      <w:pPr>
        <w:pStyle w:val="Textoindependiente"/>
        <w:tabs>
          <w:tab w:val="left" w:pos="284"/>
        </w:tabs>
      </w:pPr>
      <w:r w:rsidRPr="00E72D3C">
        <w:rPr>
          <w:rFonts w:ascii="Arial" w:hAnsi="Arial" w:cs="Arial"/>
          <w:noProof/>
          <w:sz w:val="21"/>
          <w:szCs w:val="21"/>
          <w:lang w:val="es-CO" w:eastAsia="es-CO"/>
        </w:rPr>
        <w:drawing>
          <wp:anchor distT="0" distB="0" distL="114300" distR="114300" simplePos="0" relativeHeight="251658240" behindDoc="0" locked="0" layoutInCell="1" allowOverlap="1" wp14:anchorId="7C0FF934" wp14:editId="2F99B497">
            <wp:simplePos x="0" y="0"/>
            <wp:positionH relativeFrom="column">
              <wp:posOffset>401108</wp:posOffset>
            </wp:positionH>
            <wp:positionV relativeFrom="paragraph">
              <wp:posOffset>23495</wp:posOffset>
            </wp:positionV>
            <wp:extent cx="4682067" cy="1672167"/>
            <wp:effectExtent l="0" t="0" r="4445" b="4445"/>
            <wp:wrapSquare wrapText="bothSides"/>
            <wp:docPr id="1658829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29338" name=""/>
                    <pic:cNvPicPr/>
                  </pic:nvPicPr>
                  <pic:blipFill>
                    <a:blip r:embed="rId21">
                      <a:extLst>
                        <a:ext uri="{28A0092B-C50C-407E-A947-70E740481C1C}">
                          <a14:useLocalDpi xmlns:a14="http://schemas.microsoft.com/office/drawing/2010/main" val="0"/>
                        </a:ext>
                      </a:extLst>
                    </a:blip>
                    <a:stretch>
                      <a:fillRect/>
                    </a:stretch>
                  </pic:blipFill>
                  <pic:spPr>
                    <a:xfrm>
                      <a:off x="0" y="0"/>
                      <a:ext cx="4682067" cy="1672167"/>
                    </a:xfrm>
                    <a:prstGeom prst="rect">
                      <a:avLst/>
                    </a:prstGeom>
                  </pic:spPr>
                </pic:pic>
              </a:graphicData>
            </a:graphic>
            <wp14:sizeRelH relativeFrom="page">
              <wp14:pctWidth>0</wp14:pctWidth>
            </wp14:sizeRelH>
            <wp14:sizeRelV relativeFrom="page">
              <wp14:pctHeight>0</wp14:pctHeight>
            </wp14:sizeRelV>
          </wp:anchor>
        </w:drawing>
      </w:r>
    </w:p>
    <w:p w:rsidR="00514860" w:rsidP="4198FB2C" w:rsidRDefault="00514860" w14:paraId="4E8646D5" w14:textId="77777777">
      <w:pPr>
        <w:pStyle w:val="Textoindependiente"/>
        <w:tabs>
          <w:tab w:val="left" w:pos="284"/>
        </w:tabs>
      </w:pPr>
    </w:p>
    <w:p w:rsidR="4198FB2C" w:rsidP="4198FB2C" w:rsidRDefault="4198FB2C" w14:paraId="47A3C1C7" w14:textId="4DA9A947">
      <w:pPr>
        <w:pStyle w:val="Textoindependiente"/>
        <w:tabs>
          <w:tab w:val="left" w:pos="284"/>
        </w:tabs>
      </w:pPr>
    </w:p>
    <w:p w:rsidR="00B028ED" w:rsidP="4198FB2C" w:rsidRDefault="00B028ED" w14:paraId="19DB7F4C" w14:textId="77777777">
      <w:pPr>
        <w:pStyle w:val="Textoindependiente"/>
        <w:tabs>
          <w:tab w:val="left" w:pos="284"/>
        </w:tabs>
        <w:rPr>
          <w:sz w:val="14"/>
          <w:szCs w:val="16"/>
        </w:rPr>
      </w:pPr>
    </w:p>
    <w:p w:rsidR="00B028ED" w:rsidP="4198FB2C" w:rsidRDefault="00B028ED" w14:paraId="60496397" w14:textId="77777777">
      <w:pPr>
        <w:pStyle w:val="Textoindependiente"/>
        <w:tabs>
          <w:tab w:val="left" w:pos="284"/>
        </w:tabs>
        <w:rPr>
          <w:sz w:val="14"/>
          <w:szCs w:val="16"/>
        </w:rPr>
      </w:pPr>
    </w:p>
    <w:p w:rsidR="00B028ED" w:rsidP="4198FB2C" w:rsidRDefault="00B028ED" w14:paraId="724DB6DA" w14:textId="77777777">
      <w:pPr>
        <w:pStyle w:val="Textoindependiente"/>
        <w:tabs>
          <w:tab w:val="left" w:pos="284"/>
        </w:tabs>
        <w:rPr>
          <w:sz w:val="14"/>
          <w:szCs w:val="16"/>
        </w:rPr>
      </w:pPr>
    </w:p>
    <w:p w:rsidR="00B028ED" w:rsidP="4198FB2C" w:rsidRDefault="00B028ED" w14:paraId="5DCD12D5" w14:textId="77777777">
      <w:pPr>
        <w:pStyle w:val="Textoindependiente"/>
        <w:tabs>
          <w:tab w:val="left" w:pos="284"/>
        </w:tabs>
        <w:rPr>
          <w:sz w:val="14"/>
          <w:szCs w:val="16"/>
        </w:rPr>
      </w:pPr>
    </w:p>
    <w:p w:rsidR="00B028ED" w:rsidP="4198FB2C" w:rsidRDefault="00B028ED" w14:paraId="2990D0AD" w14:textId="77777777">
      <w:pPr>
        <w:pStyle w:val="Textoindependiente"/>
        <w:tabs>
          <w:tab w:val="left" w:pos="284"/>
        </w:tabs>
        <w:rPr>
          <w:sz w:val="14"/>
          <w:szCs w:val="16"/>
        </w:rPr>
      </w:pPr>
    </w:p>
    <w:p w:rsidR="00B028ED" w:rsidP="4198FB2C" w:rsidRDefault="00B028ED" w14:paraId="24C6EF11" w14:textId="77777777">
      <w:pPr>
        <w:pStyle w:val="Textoindependiente"/>
        <w:tabs>
          <w:tab w:val="left" w:pos="284"/>
        </w:tabs>
        <w:rPr>
          <w:sz w:val="14"/>
          <w:szCs w:val="16"/>
        </w:rPr>
      </w:pPr>
    </w:p>
    <w:p w:rsidR="00B028ED" w:rsidP="4198FB2C" w:rsidRDefault="00B028ED" w14:paraId="35D27697" w14:textId="77777777">
      <w:pPr>
        <w:pStyle w:val="Textoindependiente"/>
        <w:tabs>
          <w:tab w:val="left" w:pos="284"/>
        </w:tabs>
        <w:rPr>
          <w:sz w:val="14"/>
          <w:szCs w:val="16"/>
        </w:rPr>
      </w:pPr>
    </w:p>
    <w:p w:rsidR="00E72D3C" w:rsidP="4198FB2C" w:rsidRDefault="00E72D3C" w14:paraId="73FA07C3" w14:textId="77777777">
      <w:pPr>
        <w:pStyle w:val="Textoindependiente"/>
        <w:tabs>
          <w:tab w:val="left" w:pos="284"/>
        </w:tabs>
        <w:rPr>
          <w:sz w:val="14"/>
          <w:szCs w:val="16"/>
        </w:rPr>
      </w:pPr>
    </w:p>
    <w:p w:rsidR="00E72D3C" w:rsidP="4198FB2C" w:rsidRDefault="00E72D3C" w14:paraId="18F77E21" w14:textId="77777777">
      <w:pPr>
        <w:pStyle w:val="Textoindependiente"/>
        <w:tabs>
          <w:tab w:val="left" w:pos="284"/>
        </w:tabs>
        <w:rPr>
          <w:sz w:val="14"/>
          <w:szCs w:val="16"/>
        </w:rPr>
      </w:pPr>
    </w:p>
    <w:p w:rsidR="00E72D3C" w:rsidP="4198FB2C" w:rsidRDefault="00E72D3C" w14:paraId="64299CB8" w14:textId="77777777">
      <w:pPr>
        <w:pStyle w:val="Textoindependiente"/>
        <w:tabs>
          <w:tab w:val="left" w:pos="284"/>
        </w:tabs>
        <w:rPr>
          <w:sz w:val="14"/>
          <w:szCs w:val="16"/>
        </w:rPr>
      </w:pPr>
    </w:p>
    <w:p w:rsidR="00E72D3C" w:rsidP="4198FB2C" w:rsidRDefault="00E72D3C" w14:paraId="3BC98B52" w14:textId="77777777">
      <w:pPr>
        <w:pStyle w:val="Textoindependiente"/>
        <w:tabs>
          <w:tab w:val="left" w:pos="284"/>
        </w:tabs>
        <w:rPr>
          <w:sz w:val="14"/>
          <w:szCs w:val="16"/>
        </w:rPr>
      </w:pPr>
    </w:p>
    <w:p w:rsidRPr="00514860" w:rsidR="360C13F6" w:rsidP="4198FB2C" w:rsidRDefault="360C13F6" w14:paraId="33484E5E" w14:textId="2B6E268C">
      <w:pPr>
        <w:pStyle w:val="Textoindependiente"/>
        <w:tabs>
          <w:tab w:val="left" w:pos="284"/>
        </w:tabs>
        <w:rPr>
          <w:sz w:val="22"/>
        </w:rPr>
      </w:pPr>
      <w:r w:rsidRPr="00514860">
        <w:rPr>
          <w:sz w:val="14"/>
          <w:szCs w:val="16"/>
        </w:rPr>
        <w:t>Tasa global de participación (TGP), Tasa de ocupación (TO) y Tasa de desocupación (TD) de la población con discapacidad y sin discapacidad</w:t>
      </w:r>
    </w:p>
    <w:p w:rsidRPr="00514860" w:rsidR="360C13F6" w:rsidP="4198FB2C" w:rsidRDefault="42F75624" w14:paraId="05572B89" w14:textId="0B7FC13E">
      <w:pPr>
        <w:pStyle w:val="Textoindependiente"/>
        <w:tabs>
          <w:tab w:val="left" w:pos="284"/>
        </w:tabs>
        <w:rPr>
          <w:sz w:val="14"/>
          <w:szCs w:val="16"/>
        </w:rPr>
      </w:pPr>
      <w:r w:rsidRPr="00514860">
        <w:rPr>
          <w:sz w:val="14"/>
          <w:szCs w:val="16"/>
        </w:rPr>
        <w:t xml:space="preserve">Fuente: </w:t>
      </w:r>
      <w:hyperlink r:id="rId22">
        <w:r w:rsidRPr="00514860">
          <w:rPr>
            <w:rStyle w:val="Hipervnculo"/>
            <w:sz w:val="14"/>
            <w:szCs w:val="16"/>
          </w:rPr>
          <w:t>https://www.dane.gov.co/index.php/estadisticas-por-tema/mercado-laboral/mercado-laboral-de-las-personas-con-discapacidad</w:t>
        </w:r>
      </w:hyperlink>
      <w:r w:rsidRPr="00514860">
        <w:rPr>
          <w:sz w:val="14"/>
          <w:szCs w:val="16"/>
        </w:rPr>
        <w:t xml:space="preserve"> Fecha de Consulta: </w:t>
      </w:r>
      <w:r w:rsidR="00E72D3C">
        <w:rPr>
          <w:sz w:val="14"/>
          <w:szCs w:val="16"/>
        </w:rPr>
        <w:t>10</w:t>
      </w:r>
      <w:r w:rsidRPr="00514860">
        <w:rPr>
          <w:sz w:val="14"/>
          <w:szCs w:val="16"/>
        </w:rPr>
        <w:t xml:space="preserve"> de </w:t>
      </w:r>
      <w:r w:rsidR="00E72D3C">
        <w:rPr>
          <w:sz w:val="14"/>
          <w:szCs w:val="16"/>
        </w:rPr>
        <w:t>juni</w:t>
      </w:r>
      <w:r w:rsidR="00B004DD">
        <w:rPr>
          <w:sz w:val="14"/>
          <w:szCs w:val="16"/>
        </w:rPr>
        <w:t>o</w:t>
      </w:r>
      <w:r w:rsidRPr="00514860">
        <w:rPr>
          <w:sz w:val="14"/>
          <w:szCs w:val="16"/>
        </w:rPr>
        <w:t xml:space="preserve"> de 2026.</w:t>
      </w:r>
    </w:p>
    <w:p w:rsidR="4198FB2C" w:rsidP="4198FB2C" w:rsidRDefault="4198FB2C" w14:paraId="6F71AEAF" w14:textId="32FF3376">
      <w:pPr>
        <w:pStyle w:val="Textoindependiente"/>
        <w:tabs>
          <w:tab w:val="left" w:pos="284"/>
        </w:tabs>
      </w:pPr>
    </w:p>
    <w:p w:rsidRPr="00B028ED" w:rsidR="37A4E6B0" w:rsidP="4198FB2C" w:rsidRDefault="00060E8B" w14:paraId="24EFC3C9" w14:textId="70ACEFC9">
      <w:pPr>
        <w:pStyle w:val="Textoindependiente"/>
        <w:tabs>
          <w:tab w:val="left" w:pos="284"/>
        </w:tabs>
        <w:rPr>
          <w:rFonts w:ascii="Arial" w:hAnsi="Arial" w:cs="Arial"/>
          <w:noProof/>
          <w:sz w:val="22"/>
          <w:szCs w:val="22"/>
        </w:rPr>
      </w:pPr>
      <w:r w:rsidRPr="00060E8B">
        <w:rPr>
          <w:rFonts w:ascii="Arial" w:hAnsi="Arial" w:cs="Arial"/>
          <w:noProof/>
          <w:sz w:val="22"/>
          <w:szCs w:val="22"/>
        </w:rPr>
        <w:t xml:space="preserve">Para el trimestre enero – marzo 2026, las ramas de actividad donde más se concentró la población ocupada con discapacidad fueron Comercio y reparación de vehículos (21,8%), seguida de Agricultura, ganadería, caza, silvicultura y pesca (18,4%). </w:t>
      </w:r>
      <w:r w:rsidRPr="00B028ED" w:rsidR="4265213A">
        <w:rPr>
          <w:rFonts w:ascii="Arial" w:hAnsi="Arial" w:cs="Arial"/>
          <w:noProof/>
          <w:sz w:val="22"/>
          <w:szCs w:val="22"/>
        </w:rPr>
        <w:t>Esto se evidencia en la siguiente gráfica:</w:t>
      </w:r>
    </w:p>
    <w:p w:rsidRPr="00B028ED" w:rsidR="4198FB2C" w:rsidP="4198FB2C" w:rsidRDefault="4198FB2C" w14:paraId="6904A712" w14:textId="023BE106">
      <w:pPr>
        <w:pStyle w:val="Textoindependiente"/>
        <w:tabs>
          <w:tab w:val="left" w:pos="284"/>
        </w:tabs>
        <w:rPr>
          <w:rFonts w:ascii="Arial" w:hAnsi="Arial" w:cs="Arial"/>
          <w:noProof/>
          <w:sz w:val="22"/>
          <w:szCs w:val="22"/>
        </w:rPr>
      </w:pPr>
    </w:p>
    <w:p w:rsidRPr="00B028ED" w:rsidR="37A4E6B0" w:rsidP="4198FB2C" w:rsidRDefault="37A4E6B0" w14:paraId="56FB71FB" w14:textId="4761291E">
      <w:pPr>
        <w:pStyle w:val="Textoindependiente"/>
        <w:tabs>
          <w:tab w:val="left" w:pos="284"/>
        </w:tabs>
        <w:rPr>
          <w:rFonts w:ascii="Arial" w:hAnsi="Arial" w:cs="Arial"/>
          <w:noProof/>
          <w:sz w:val="22"/>
          <w:szCs w:val="22"/>
        </w:rPr>
      </w:pPr>
      <w:r w:rsidRPr="00B028ED">
        <w:rPr>
          <w:rFonts w:ascii="Arial" w:hAnsi="Arial" w:cs="Arial"/>
          <w:noProof/>
          <w:sz w:val="22"/>
          <w:szCs w:val="22"/>
        </w:rPr>
        <w:t>Table 6 del Sector</w:t>
      </w:r>
    </w:p>
    <w:p w:rsidR="4198FB2C" w:rsidP="4198FB2C" w:rsidRDefault="4198FB2C" w14:paraId="107B88A8" w14:textId="14BABF58">
      <w:pPr>
        <w:pStyle w:val="Textoindependiente"/>
        <w:tabs>
          <w:tab w:val="left" w:pos="284"/>
        </w:tabs>
      </w:pPr>
    </w:p>
    <w:p w:rsidR="00060E8B" w:rsidP="4198FB2C" w:rsidRDefault="0BDF9AFF" w14:paraId="14923DA9" w14:textId="77777777">
      <w:pPr>
        <w:pStyle w:val="Textoindependiente"/>
        <w:tabs>
          <w:tab w:val="left" w:pos="284"/>
        </w:tabs>
      </w:pPr>
      <w:r>
        <w:t xml:space="preserve"> </w:t>
      </w:r>
      <w:r w:rsidRPr="00060E8B" w:rsidR="00060E8B">
        <w:rPr>
          <w:noProof/>
          <w:lang w:val="es-CO" w:eastAsia="es-CO"/>
        </w:rPr>
        <w:drawing>
          <wp:inline distT="0" distB="0" distL="0" distR="0" wp14:anchorId="3EE0A7A4" wp14:editId="4B8C2647">
            <wp:extent cx="5380186" cy="3665538"/>
            <wp:effectExtent l="0" t="0" r="0" b="0"/>
            <wp:docPr id="14084416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41694" name=""/>
                    <pic:cNvPicPr/>
                  </pic:nvPicPr>
                  <pic:blipFill>
                    <a:blip r:embed="rId23"/>
                    <a:stretch>
                      <a:fillRect/>
                    </a:stretch>
                  </pic:blipFill>
                  <pic:spPr>
                    <a:xfrm>
                      <a:off x="0" y="0"/>
                      <a:ext cx="5380186" cy="3665538"/>
                    </a:xfrm>
                    <a:prstGeom prst="rect">
                      <a:avLst/>
                    </a:prstGeom>
                  </pic:spPr>
                </pic:pic>
              </a:graphicData>
            </a:graphic>
          </wp:inline>
        </w:drawing>
      </w:r>
    </w:p>
    <w:p w:rsidRPr="00B028ED" w:rsidR="37A4E6B0" w:rsidP="4198FB2C" w:rsidRDefault="52C5143E" w14:paraId="7D05F9C1" w14:textId="24EA31DD">
      <w:pPr>
        <w:pStyle w:val="Textoindependiente"/>
        <w:tabs>
          <w:tab w:val="left" w:pos="284"/>
        </w:tabs>
        <w:rPr>
          <w:sz w:val="22"/>
        </w:rPr>
      </w:pPr>
      <w:r w:rsidRPr="00B028ED">
        <w:rPr>
          <w:sz w:val="14"/>
          <w:szCs w:val="16"/>
        </w:rPr>
        <w:t>Tasa global de participación (TGP), Tasa de ocupación (TO) y Tasa de desocupación (TD) de la población con discapacidad y sin discapacidad</w:t>
      </w:r>
      <w:r w:rsidRPr="00B028ED" w:rsidR="00B028ED">
        <w:rPr>
          <w:sz w:val="22"/>
        </w:rPr>
        <w:t xml:space="preserve"> </w:t>
      </w:r>
      <w:r w:rsidRPr="00B028ED">
        <w:rPr>
          <w:sz w:val="14"/>
          <w:szCs w:val="16"/>
        </w:rPr>
        <w:t xml:space="preserve">Fuente: </w:t>
      </w:r>
      <w:hyperlink r:id="rId24">
        <w:r w:rsidRPr="00B028ED">
          <w:rPr>
            <w:rStyle w:val="Hipervnculo"/>
            <w:sz w:val="14"/>
            <w:szCs w:val="16"/>
          </w:rPr>
          <w:t>https://www.dane.gov.co/index.php/estadisticas-por-tema/mercado-laboral/mercado-laboral-de-las-personas-con-discapacidad</w:t>
        </w:r>
      </w:hyperlink>
      <w:r w:rsidRPr="00B028ED">
        <w:rPr>
          <w:sz w:val="14"/>
          <w:szCs w:val="16"/>
        </w:rPr>
        <w:t xml:space="preserve"> Fecha de Consulta: </w:t>
      </w:r>
      <w:r w:rsidR="00060E8B">
        <w:rPr>
          <w:sz w:val="14"/>
          <w:szCs w:val="16"/>
        </w:rPr>
        <w:t>10</w:t>
      </w:r>
      <w:r w:rsidRPr="00B028ED" w:rsidR="00B028ED">
        <w:rPr>
          <w:sz w:val="14"/>
          <w:szCs w:val="16"/>
        </w:rPr>
        <w:t xml:space="preserve"> </w:t>
      </w:r>
      <w:r w:rsidRPr="00B028ED">
        <w:rPr>
          <w:sz w:val="14"/>
          <w:szCs w:val="16"/>
        </w:rPr>
        <w:t xml:space="preserve">de </w:t>
      </w:r>
      <w:r w:rsidR="00060E8B">
        <w:rPr>
          <w:sz w:val="14"/>
          <w:szCs w:val="16"/>
        </w:rPr>
        <w:t>juni</w:t>
      </w:r>
      <w:r w:rsidR="00B004DD">
        <w:rPr>
          <w:sz w:val="14"/>
          <w:szCs w:val="16"/>
        </w:rPr>
        <w:t>o</w:t>
      </w:r>
      <w:r w:rsidRPr="00B028ED">
        <w:rPr>
          <w:sz w:val="14"/>
          <w:szCs w:val="16"/>
        </w:rPr>
        <w:t xml:space="preserve"> de 2026.</w:t>
      </w:r>
    </w:p>
    <w:p w:rsidR="4198FB2C" w:rsidP="4198FB2C" w:rsidRDefault="4198FB2C" w14:paraId="5D9DED12" w14:textId="47D9C910">
      <w:pPr>
        <w:pStyle w:val="Textoindependiente"/>
        <w:tabs>
          <w:tab w:val="left" w:pos="284"/>
        </w:tabs>
      </w:pPr>
    </w:p>
    <w:p w:rsidR="4198FB2C" w:rsidP="4198FB2C" w:rsidRDefault="4198FB2C" w14:paraId="346FA267" w14:textId="7AFE5A6D">
      <w:pPr>
        <w:pStyle w:val="Textoindependiente"/>
        <w:tabs>
          <w:tab w:val="left" w:pos="284"/>
        </w:tabs>
      </w:pPr>
    </w:p>
    <w:p w:rsidRPr="003D0ADA" w:rsidR="00C926CB" w:rsidP="030C088D" w:rsidRDefault="5EE9FC39" w14:paraId="5E08594A" w14:textId="00CAEF50">
      <w:pPr>
        <w:pStyle w:val="Textoindependiente"/>
        <w:numPr>
          <w:ilvl w:val="0"/>
          <w:numId w:val="27"/>
        </w:numPr>
        <w:tabs>
          <w:tab w:val="left" w:pos="284"/>
        </w:tabs>
        <w:rPr>
          <w:rFonts w:ascii="Arial" w:hAnsi="Arial" w:cs="Arial"/>
          <w:b/>
          <w:bCs/>
          <w:sz w:val="21"/>
          <w:szCs w:val="21"/>
          <w:lang w:val="es-CO"/>
        </w:rPr>
      </w:pPr>
      <w:r w:rsidRPr="38C6DAD0">
        <w:rPr>
          <w:rFonts w:ascii="Arial" w:hAnsi="Arial" w:cs="Arial"/>
          <w:b/>
          <w:bCs/>
          <w:sz w:val="21"/>
          <w:szCs w:val="21"/>
          <w:lang w:val="es-CO"/>
        </w:rPr>
        <w:t xml:space="preserve">Aspecto internacional – Acuerdos Comerciales </w:t>
      </w:r>
    </w:p>
    <w:p w:rsidRPr="003D0ADA" w:rsidR="00C926CB" w:rsidP="0CD01878" w:rsidRDefault="00C926CB" w14:paraId="3AF1C7EE" w14:textId="688FC2DC">
      <w:pPr>
        <w:pStyle w:val="Textoindependiente"/>
        <w:tabs>
          <w:tab w:val="left" w:pos="284"/>
        </w:tabs>
        <w:rPr>
          <w:rFonts w:ascii="Arial" w:hAnsi="Arial" w:cs="Arial"/>
          <w:b/>
          <w:bCs/>
          <w:sz w:val="21"/>
          <w:szCs w:val="21"/>
          <w:lang w:val="es-CO"/>
        </w:rPr>
      </w:pPr>
    </w:p>
    <w:p w:rsidRPr="004744DA" w:rsidR="004744DA" w:rsidP="004744DA" w:rsidRDefault="004744DA" w14:paraId="21D79DB7" w14:textId="77777777">
      <w:pPr>
        <w:jc w:val="both"/>
        <w:rPr>
          <w:rFonts w:ascii="Arial" w:hAnsi="Arial" w:eastAsia="Arial" w:cs="Arial"/>
          <w:sz w:val="22"/>
          <w:szCs w:val="22"/>
        </w:rPr>
      </w:pPr>
      <w:r w:rsidRPr="004744DA">
        <w:rPr>
          <w:rFonts w:ascii="Arial" w:hAnsi="Arial" w:eastAsia="Arial" w:cs="Arial"/>
          <w:sz w:val="22"/>
          <w:szCs w:val="22"/>
        </w:rPr>
        <w:t xml:space="preserve">De conformidad con el artículo 35 de la Ley 2069 de 2020 reglamentado por el artículo 3 del decreto 1860 de 2021 el cual adicionó el artículo 2.2.1.2.4.2.17 al Decreto 1082 de 2015 y de conformidad con el análisis realizado con base en las reglas establecidas en el “Manual para el Manejo de los Acuerdos en Procesos de Contratación” (CCE-EICP-MA-03 V1. 24/11/2021) expedido por la Agencia Nacional de Contratación Pública - Colombia Compra Eficiente, por consiguiente, las ofertas de bienes y servicios de países con los cuales Colombia tiene Acuerdos Comerciales vigentes que cubren el proceso de contratación, serán tratados como ofertas de bienes y servicios colombianos comerciales Al presente proceso de selección, le son aplicables los siguientes Acuerdos Comerciales, según se denota en el siguiente cuadro: </w:t>
      </w:r>
    </w:p>
    <w:p w:rsidRPr="004744DA" w:rsidR="004744DA" w:rsidP="004744DA" w:rsidRDefault="004744DA" w14:paraId="67CA48B9" w14:textId="77777777">
      <w:pPr>
        <w:jc w:val="both"/>
        <w:rPr>
          <w:rFonts w:ascii="Arial" w:hAnsi="Arial" w:eastAsia="Arial" w:cs="Arial"/>
          <w:sz w:val="22"/>
          <w:szCs w:val="22"/>
        </w:rPr>
      </w:pPr>
    </w:p>
    <w:p w:rsidR="38C6DAD0" w:rsidP="38C6DAD0" w:rsidRDefault="38C6DAD0" w14:paraId="67A80C5C" w14:textId="5C01A1CE">
      <w:pPr>
        <w:jc w:val="both"/>
        <w:rPr>
          <w:rFonts w:ascii="Arial" w:hAnsi="Arial" w:eastAsia="Arial" w:cs="Arial"/>
          <w:sz w:val="21"/>
          <w:szCs w:val="21"/>
        </w:rPr>
      </w:pPr>
    </w:p>
    <w:p w:rsidR="38C6DAD0" w:rsidP="38C6DAD0" w:rsidRDefault="38C6DAD0" w14:paraId="32FD67E9" w14:textId="5C58535D">
      <w:pPr>
        <w:jc w:val="both"/>
        <w:rPr>
          <w:rFonts w:ascii="Arial" w:hAnsi="Arial" w:eastAsia="Arial" w:cs="Arial"/>
          <w:sz w:val="21"/>
          <w:szCs w:val="21"/>
        </w:rPr>
      </w:pPr>
    </w:p>
    <w:p w:rsidR="38C6DAD0" w:rsidP="38C6DAD0" w:rsidRDefault="38C6DAD0" w14:paraId="06C9FA2D" w14:textId="00648B5C">
      <w:pPr>
        <w:jc w:val="both"/>
        <w:rPr>
          <w:rFonts w:ascii="Arial" w:hAnsi="Arial" w:eastAsia="Arial" w:cs="Arial"/>
          <w:sz w:val="21"/>
          <w:szCs w:val="21"/>
        </w:rPr>
      </w:pPr>
    </w:p>
    <w:tbl>
      <w:tblPr>
        <w:tblW w:w="0" w:type="auto"/>
        <w:tblInd w:w="-300" w:type="dxa"/>
        <w:tblBorders>
          <w:top w:val="single" w:color="auto" w:sz="6" w:space="0"/>
          <w:left w:val="single" w:color="auto" w:sz="6" w:space="0"/>
          <w:bottom w:val="single" w:color="auto" w:sz="6" w:space="0"/>
          <w:right w:val="single" w:color="auto" w:sz="6" w:space="0"/>
        </w:tblBorders>
        <w:tblLook w:val="01E0" w:firstRow="1" w:lastRow="1" w:firstColumn="1" w:lastColumn="1" w:noHBand="0" w:noVBand="0"/>
      </w:tblPr>
      <w:tblGrid>
        <w:gridCol w:w="1282"/>
        <w:gridCol w:w="1163"/>
        <w:gridCol w:w="1285"/>
        <w:gridCol w:w="1901"/>
        <w:gridCol w:w="1938"/>
        <w:gridCol w:w="1787"/>
      </w:tblGrid>
      <w:tr w:rsidR="54DA9842" w:rsidTr="54DA9842" w14:paraId="522B936C" w14:textId="77777777">
        <w:trPr>
          <w:trHeight w:val="136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B4C5E7"/>
            <w:tcMar>
              <w:left w:w="105" w:type="dxa"/>
              <w:right w:w="105" w:type="dxa"/>
            </w:tcMar>
          </w:tcPr>
          <w:p w:rsidR="54DA9842" w:rsidP="54DA9842" w:rsidRDefault="54DA9842" w14:paraId="049E88F7" w14:textId="118440AA">
            <w:pPr>
              <w:widowControl w:val="0"/>
              <w:rPr>
                <w:rFonts w:ascii="Arial" w:hAnsi="Arial" w:eastAsia="Arial" w:cs="Arial"/>
                <w:color w:val="000000" w:themeColor="text1"/>
                <w:sz w:val="20"/>
                <w:szCs w:val="20"/>
              </w:rPr>
            </w:pPr>
          </w:p>
          <w:p w:rsidR="54DA9842" w:rsidP="54DA9842" w:rsidRDefault="54DA9842" w14:paraId="2FED61D8" w14:textId="32EC07A3">
            <w:pPr>
              <w:widowControl w:val="0"/>
              <w:spacing w:before="115"/>
              <w:rPr>
                <w:rFonts w:ascii="Arial" w:hAnsi="Arial" w:eastAsia="Arial" w:cs="Arial"/>
                <w:color w:val="000000" w:themeColor="text1"/>
                <w:sz w:val="20"/>
                <w:szCs w:val="20"/>
              </w:rPr>
            </w:pPr>
          </w:p>
          <w:p w:rsidR="54DA9842" w:rsidP="54DA9842" w:rsidRDefault="54DA9842" w14:paraId="468C7EE6" w14:textId="5184815C">
            <w:pPr>
              <w:pStyle w:val="TableParagraph"/>
              <w:ind w:left="350"/>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Acuerdo Comercial</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B4C5E7"/>
            <w:tcMar>
              <w:left w:w="105" w:type="dxa"/>
              <w:right w:w="105" w:type="dxa"/>
            </w:tcMar>
          </w:tcPr>
          <w:p w:rsidR="54DA9842" w:rsidP="54DA9842" w:rsidRDefault="54DA9842" w14:paraId="35EFC088" w14:textId="5CA3C76B">
            <w:pPr>
              <w:widowControl w:val="0"/>
              <w:spacing w:before="114"/>
              <w:rPr>
                <w:rFonts w:ascii="Arial" w:hAnsi="Arial" w:eastAsia="Arial" w:cs="Arial"/>
                <w:color w:val="000000" w:themeColor="text1"/>
                <w:sz w:val="20"/>
                <w:szCs w:val="20"/>
              </w:rPr>
            </w:pPr>
          </w:p>
          <w:p w:rsidR="54DA9842" w:rsidP="54DA9842" w:rsidRDefault="54DA9842" w14:paraId="71B5C88E" w14:textId="33A157DD">
            <w:pPr>
              <w:pStyle w:val="TableParagraph"/>
              <w:spacing w:before="1"/>
              <w:ind w:left="236" w:right="119" w:firstLine="12"/>
              <w:jc w:val="both"/>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Entidad Estatal Incluida</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B4C5E7"/>
            <w:tcMar>
              <w:left w:w="105" w:type="dxa"/>
              <w:right w:w="105" w:type="dxa"/>
            </w:tcMar>
          </w:tcPr>
          <w:p w:rsidR="54DA9842" w:rsidP="54DA9842" w:rsidRDefault="54DA9842" w14:paraId="6754FCB2" w14:textId="026FA0F2">
            <w:pPr>
              <w:pStyle w:val="TableParagraph"/>
              <w:ind w:left="269" w:right="245" w:hanging="1"/>
              <w:jc w:val="center"/>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Presupuesto del Proceso de Contratación superior al valor</w:t>
            </w:r>
          </w:p>
          <w:p w:rsidR="54DA9842" w:rsidP="54DA9842" w:rsidRDefault="54DA9842" w14:paraId="56883C49" w14:textId="1084FC1D">
            <w:pPr>
              <w:pStyle w:val="TableParagraph"/>
              <w:spacing w:line="230" w:lineRule="exact"/>
              <w:ind w:left="23"/>
              <w:jc w:val="center"/>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del Acuerdo Comercial</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B4C5E7"/>
            <w:tcMar>
              <w:left w:w="105" w:type="dxa"/>
              <w:right w:w="105" w:type="dxa"/>
            </w:tcMar>
          </w:tcPr>
          <w:p w:rsidR="54DA9842" w:rsidP="54DA9842" w:rsidRDefault="54DA9842" w14:paraId="65E52C7F" w14:textId="0A630068">
            <w:pPr>
              <w:pStyle w:val="TableParagraph"/>
              <w:spacing w:before="229"/>
              <w:ind w:left="312" w:right="241"/>
              <w:jc w:val="both"/>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Excepción Aplicable al Proceso de Contratación</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shd w:val="clear" w:color="auto" w:fill="B4C5E7"/>
            <w:tcMar>
              <w:left w:w="105" w:type="dxa"/>
              <w:right w:w="105" w:type="dxa"/>
            </w:tcMar>
          </w:tcPr>
          <w:p w:rsidR="54DA9842" w:rsidP="54DA9842" w:rsidRDefault="54DA9842" w14:paraId="5155E506" w14:textId="66985C28">
            <w:pPr>
              <w:pStyle w:val="TableParagraph"/>
              <w:spacing w:before="114"/>
              <w:ind w:left="187" w:right="209" w:hanging="1"/>
              <w:jc w:val="center"/>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rPr>
              <w:t>Proceso de Contratación cubierto por el Acuerdo Comercial</w:t>
            </w:r>
          </w:p>
        </w:tc>
      </w:tr>
      <w:tr w:rsidR="54DA9842" w:rsidTr="54DA9842" w14:paraId="2487E2BF" w14:textId="77777777">
        <w:trPr>
          <w:trHeight w:val="285"/>
        </w:trPr>
        <w:tc>
          <w:tcPr>
            <w:tcW w:w="1395" w:type="dxa"/>
            <w:vMerge w:val="restart"/>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4A821C4" w14:textId="08C9FFA7">
            <w:pPr>
              <w:pStyle w:val="TableParagraph"/>
              <w:spacing w:before="76"/>
              <w:ind w:left="136" w:right="270"/>
              <w:rPr>
                <w:rFonts w:ascii="Arial" w:hAnsi="Arial" w:eastAsia="Arial" w:cs="Arial"/>
                <w:color w:val="000000" w:themeColor="text1"/>
                <w:sz w:val="20"/>
                <w:szCs w:val="20"/>
              </w:rPr>
            </w:pPr>
            <w:r w:rsidRPr="54DA9842">
              <w:rPr>
                <w:rFonts w:ascii="Arial" w:hAnsi="Arial" w:eastAsia="Arial" w:cs="Arial"/>
                <w:color w:val="000000" w:themeColor="text1"/>
                <w:sz w:val="20"/>
                <w:szCs w:val="20"/>
              </w:rPr>
              <w:t>Alianza Pacifico</w:t>
            </w:r>
          </w:p>
        </w:tc>
        <w:tc>
          <w:tcPr>
            <w:tcW w:w="106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87578E2" w14:textId="7553BB44">
            <w:pPr>
              <w:pStyle w:val="TableParagraph"/>
              <w:spacing w:before="35"/>
              <w:ind w:left="6"/>
              <w:rPr>
                <w:rFonts w:ascii="Arial" w:hAnsi="Arial" w:eastAsia="Arial" w:cs="Arial"/>
                <w:color w:val="000000" w:themeColor="text1"/>
                <w:sz w:val="20"/>
                <w:szCs w:val="20"/>
              </w:rPr>
            </w:pPr>
            <w:r w:rsidRPr="54DA9842">
              <w:rPr>
                <w:rFonts w:ascii="Arial" w:hAnsi="Arial" w:eastAsia="Arial" w:cs="Arial"/>
                <w:color w:val="000000" w:themeColor="text1"/>
                <w:sz w:val="20"/>
                <w:szCs w:val="20"/>
              </w:rPr>
              <w:t>Chile</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E66DDC0" w14:textId="192DD37D">
            <w:pPr>
              <w:pStyle w:val="TableParagraph"/>
              <w:spacing w:before="35"/>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DA34649" w14:textId="4D2CF5C5">
            <w:pPr>
              <w:pStyle w:val="TableParagraph"/>
              <w:spacing w:line="229" w:lineRule="exact"/>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4E3424BE" w14:textId="06778728">
            <w:pPr>
              <w:pStyle w:val="TableParagraph"/>
              <w:spacing w:before="35"/>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850C8FA" w14:textId="38CFDB1E">
            <w:pPr>
              <w:pStyle w:val="TableParagraph"/>
              <w:spacing w:before="35"/>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0FB2E274" w14:textId="77777777">
        <w:trPr>
          <w:trHeight w:val="300"/>
        </w:trPr>
        <w:tc>
          <w:tcPr>
            <w:tcW w:w="1395" w:type="dxa"/>
            <w:vMerge/>
            <w:tcBorders>
              <w:left w:val="single" w:color="000000" w:themeColor="text1" w:sz="0" w:space="0"/>
              <w:bottom w:val="single" w:color="000000" w:themeColor="text1" w:sz="0" w:space="0"/>
              <w:right w:val="single" w:color="000000" w:themeColor="text1" w:sz="0" w:space="0"/>
            </w:tcBorders>
            <w:vAlign w:val="center"/>
          </w:tcPr>
          <w:p w:rsidR="00A62494" w:rsidRDefault="00A62494" w14:paraId="4FABA22E" w14:textId="77777777"/>
        </w:tc>
        <w:tc>
          <w:tcPr>
            <w:tcW w:w="106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3C2B5FF" w14:textId="129D06DF">
            <w:pPr>
              <w:pStyle w:val="TableParagraph"/>
              <w:spacing w:before="35"/>
              <w:ind w:left="6"/>
              <w:rPr>
                <w:rFonts w:ascii="Arial" w:hAnsi="Arial" w:eastAsia="Arial" w:cs="Arial"/>
                <w:color w:val="000000" w:themeColor="text1"/>
                <w:sz w:val="20"/>
                <w:szCs w:val="20"/>
              </w:rPr>
            </w:pPr>
            <w:r w:rsidRPr="54DA9842">
              <w:rPr>
                <w:rFonts w:ascii="Arial" w:hAnsi="Arial" w:eastAsia="Arial" w:cs="Arial"/>
                <w:color w:val="000000" w:themeColor="text1"/>
                <w:sz w:val="20"/>
                <w:szCs w:val="20"/>
              </w:rPr>
              <w:t>Perú</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4FCB3E6" w14:textId="7535AB02">
            <w:pPr>
              <w:pStyle w:val="TableParagraph"/>
              <w:spacing w:before="35"/>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9DC56DC" w14:textId="5221254E">
            <w:pPr>
              <w:pStyle w:val="TableParagraph"/>
              <w:spacing w:line="229" w:lineRule="exact"/>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7A3B480F" w14:textId="735B5101">
            <w:pPr>
              <w:pStyle w:val="TableParagraph"/>
              <w:spacing w:before="35"/>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8F7F5AA" w14:textId="13FD013B">
            <w:pPr>
              <w:pStyle w:val="TableParagraph"/>
              <w:spacing w:before="35"/>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6504810C" w14:textId="77777777">
        <w:trPr>
          <w:trHeight w:val="28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8DE652F" w14:textId="4C07A7BD">
            <w:pPr>
              <w:pStyle w:val="TableParagraph"/>
              <w:spacing w:before="33"/>
              <w:ind w:left="136"/>
              <w:rPr>
                <w:rFonts w:ascii="Arial" w:hAnsi="Arial" w:eastAsia="Arial" w:cs="Arial"/>
                <w:color w:val="000000" w:themeColor="text1"/>
                <w:sz w:val="20"/>
                <w:szCs w:val="20"/>
              </w:rPr>
            </w:pPr>
            <w:r w:rsidRPr="54DA9842">
              <w:rPr>
                <w:rFonts w:ascii="Arial" w:hAnsi="Arial" w:eastAsia="Arial" w:cs="Arial"/>
                <w:color w:val="000000" w:themeColor="text1"/>
                <w:sz w:val="20"/>
                <w:szCs w:val="20"/>
              </w:rPr>
              <w:t>Chile</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CDFAE96" w14:textId="2EB41232">
            <w:pPr>
              <w:pStyle w:val="TableParagraph"/>
              <w:spacing w:before="33"/>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2A8D6A5" w14:textId="48A4E9BE">
            <w:pPr>
              <w:pStyle w:val="TableParagraph"/>
              <w:spacing w:before="33"/>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B9B0243" w14:textId="1736F54E">
            <w:pPr>
              <w:pStyle w:val="TableParagraph"/>
              <w:spacing w:line="229" w:lineRule="exact"/>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DBF3FD5" w14:textId="579DA27B">
            <w:pPr>
              <w:pStyle w:val="TableParagraph"/>
              <w:spacing w:before="33"/>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6B0CD24D" w14:textId="77777777">
        <w:trPr>
          <w:trHeight w:val="28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C54AC62" w14:textId="473EDF7A">
            <w:pPr>
              <w:pStyle w:val="TableParagraph"/>
              <w:spacing w:before="33"/>
              <w:ind w:left="136"/>
              <w:rPr>
                <w:rFonts w:ascii="Arial" w:hAnsi="Arial" w:eastAsia="Arial" w:cs="Arial"/>
                <w:color w:val="000000" w:themeColor="text1"/>
                <w:sz w:val="20"/>
                <w:szCs w:val="20"/>
              </w:rPr>
            </w:pPr>
            <w:r w:rsidRPr="54DA9842">
              <w:rPr>
                <w:rFonts w:ascii="Arial" w:hAnsi="Arial" w:eastAsia="Arial" w:cs="Arial"/>
                <w:color w:val="000000" w:themeColor="text1"/>
                <w:sz w:val="20"/>
                <w:szCs w:val="20"/>
              </w:rPr>
              <w:t>Costa Rica</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478357D7" w14:textId="3A3BCFFF">
            <w:pPr>
              <w:pStyle w:val="TableParagraph"/>
              <w:spacing w:before="33"/>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4775E965" w14:textId="5CBA88E8">
            <w:pPr>
              <w:pStyle w:val="TableParagraph"/>
              <w:spacing w:before="33"/>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8400829" w14:textId="350D7CFD">
            <w:pPr>
              <w:pStyle w:val="TableParagraph"/>
              <w:spacing w:line="229" w:lineRule="exact"/>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0573C18" w14:textId="44C46BD1">
            <w:pPr>
              <w:pStyle w:val="TableParagraph"/>
              <w:spacing w:before="33"/>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40429EEC" w14:textId="77777777">
        <w:trPr>
          <w:trHeight w:val="28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6A5F1B19" w14:textId="5BA6916D">
            <w:pPr>
              <w:pStyle w:val="TableParagraph"/>
              <w:spacing w:before="35"/>
              <w:ind w:left="136"/>
              <w:rPr>
                <w:rFonts w:ascii="Arial" w:hAnsi="Arial" w:eastAsia="Arial" w:cs="Arial"/>
                <w:color w:val="000000" w:themeColor="text1"/>
                <w:sz w:val="20"/>
                <w:szCs w:val="20"/>
              </w:rPr>
            </w:pPr>
            <w:r w:rsidRPr="54DA9842">
              <w:rPr>
                <w:rFonts w:ascii="Arial" w:hAnsi="Arial" w:eastAsia="Arial" w:cs="Arial"/>
                <w:color w:val="000000" w:themeColor="text1"/>
                <w:sz w:val="20"/>
                <w:szCs w:val="20"/>
              </w:rPr>
              <w:t>Estados AELC</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AC79C9B" w14:textId="521412E3">
            <w:pPr>
              <w:pStyle w:val="TableParagraph"/>
              <w:spacing w:before="35"/>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C67BDC3" w14:textId="765B63F1">
            <w:pPr>
              <w:pStyle w:val="TableParagraph"/>
              <w:spacing w:before="35"/>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1FBE0B1" w14:textId="1ECCDF4C">
            <w:pPr>
              <w:pStyle w:val="TableParagraph"/>
              <w:spacing w:line="229" w:lineRule="exact"/>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6F0B35C" w14:textId="589C8196">
            <w:pPr>
              <w:pStyle w:val="TableParagraph"/>
              <w:spacing w:before="35"/>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3C7F8531" w14:textId="77777777">
        <w:trPr>
          <w:trHeight w:val="450"/>
        </w:trPr>
        <w:tc>
          <w:tcPr>
            <w:tcW w:w="139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9884D7F" w14:textId="2FF4C832">
            <w:pPr>
              <w:pStyle w:val="TableParagraph"/>
              <w:spacing w:line="230" w:lineRule="exact"/>
              <w:ind w:left="136" w:right="139"/>
              <w:rPr>
                <w:rFonts w:ascii="Arial" w:hAnsi="Arial" w:eastAsia="Arial" w:cs="Arial"/>
                <w:color w:val="000000" w:themeColor="text1"/>
                <w:sz w:val="20"/>
                <w:szCs w:val="20"/>
              </w:rPr>
            </w:pPr>
            <w:r w:rsidRPr="54DA9842">
              <w:rPr>
                <w:rFonts w:ascii="Arial" w:hAnsi="Arial" w:eastAsia="Arial" w:cs="Arial"/>
                <w:color w:val="000000" w:themeColor="text1"/>
                <w:sz w:val="20"/>
                <w:szCs w:val="20"/>
              </w:rPr>
              <w:t>Triángulo Norte</w:t>
            </w:r>
          </w:p>
        </w:tc>
        <w:tc>
          <w:tcPr>
            <w:tcW w:w="106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58E41A3" w14:textId="7DF682FA">
            <w:pPr>
              <w:pStyle w:val="TableParagraph"/>
              <w:spacing w:before="114"/>
              <w:ind w:left="6"/>
              <w:rPr>
                <w:rFonts w:ascii="Arial" w:hAnsi="Arial" w:eastAsia="Arial" w:cs="Arial"/>
                <w:color w:val="000000" w:themeColor="text1"/>
                <w:sz w:val="20"/>
                <w:szCs w:val="20"/>
              </w:rPr>
            </w:pPr>
            <w:r w:rsidRPr="54DA9842">
              <w:rPr>
                <w:rFonts w:ascii="Arial" w:hAnsi="Arial" w:eastAsia="Arial" w:cs="Arial"/>
                <w:color w:val="000000" w:themeColor="text1"/>
                <w:sz w:val="20"/>
                <w:szCs w:val="20"/>
              </w:rPr>
              <w:t>Guatemala</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A7D65E2" w14:textId="022EF216">
            <w:pPr>
              <w:pStyle w:val="TableParagraph"/>
              <w:spacing w:before="114"/>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13C905F1" w14:textId="7357E158">
            <w:pPr>
              <w:pStyle w:val="TableParagraph"/>
              <w:spacing w:line="229" w:lineRule="exact"/>
              <w:ind w:left="23" w:right="19"/>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221379E" w14:textId="1606787B">
            <w:pPr>
              <w:pStyle w:val="TableParagraph"/>
              <w:spacing w:before="114"/>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 xml:space="preserve">SI </w:t>
            </w:r>
            <w:r w:rsidRPr="004744DA">
              <w:rPr>
                <w:rFonts w:ascii="Arial" w:hAnsi="Arial" w:eastAsia="Arial" w:cs="Arial"/>
                <w:color w:val="000000" w:themeColor="text1"/>
                <w:sz w:val="16"/>
                <w:szCs w:val="16"/>
              </w:rPr>
              <w:t>(52)</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EFE6E76" w14:textId="23F59D80">
            <w:pPr>
              <w:pStyle w:val="TableParagraph"/>
              <w:spacing w:before="114"/>
              <w:ind w:left="7" w:right="3"/>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59E58B42" w14:textId="77777777">
        <w:trPr>
          <w:trHeight w:val="67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36BAF88" w14:textId="754D2BD8">
            <w:pPr>
              <w:pStyle w:val="TableParagraph"/>
              <w:spacing w:line="230" w:lineRule="exact"/>
              <w:ind w:left="136" w:right="-15"/>
              <w:jc w:val="both"/>
              <w:rPr>
                <w:rFonts w:ascii="Arial" w:hAnsi="Arial" w:eastAsia="Arial" w:cs="Arial"/>
                <w:color w:val="000000" w:themeColor="text1"/>
                <w:sz w:val="20"/>
                <w:szCs w:val="20"/>
              </w:rPr>
            </w:pPr>
            <w:r w:rsidRPr="54DA9842">
              <w:rPr>
                <w:rFonts w:ascii="Arial" w:hAnsi="Arial" w:eastAsia="Arial" w:cs="Arial"/>
                <w:color w:val="000000" w:themeColor="text1"/>
                <w:sz w:val="20"/>
                <w:szCs w:val="20"/>
              </w:rPr>
              <w:t>Unión Europea Aplicable al Reino Unido e Irlanda del Norte</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62E75B8E" w14:textId="5257C44B">
            <w:pPr>
              <w:pStyle w:val="TableParagraph"/>
              <w:spacing w:before="229"/>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E51B46F" w14:textId="2EB3B33B">
            <w:pPr>
              <w:pStyle w:val="TableParagraph"/>
              <w:spacing w:before="229"/>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2D1FB85B" w14:textId="1F5E7AB2">
            <w:pPr>
              <w:pStyle w:val="TableParagraph"/>
              <w:spacing w:before="229"/>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6F30D36C" w14:textId="69D512DB">
            <w:pPr>
              <w:pStyle w:val="TableParagraph"/>
              <w:spacing w:before="229"/>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1E8FFDFE" w14:textId="77777777">
        <w:trPr>
          <w:trHeight w:val="450"/>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0512B32D" w14:textId="4C2C7C15">
            <w:pPr>
              <w:pStyle w:val="TableParagraph"/>
              <w:tabs>
                <w:tab w:val="left" w:pos="921"/>
                <w:tab w:val="left" w:pos="1398"/>
              </w:tabs>
              <w:spacing w:line="230" w:lineRule="exact"/>
              <w:ind w:left="136" w:right="-15"/>
              <w:rPr>
                <w:rFonts w:ascii="Arial" w:hAnsi="Arial" w:eastAsia="Arial" w:cs="Arial"/>
                <w:color w:val="000000" w:themeColor="text1"/>
                <w:sz w:val="20"/>
                <w:szCs w:val="20"/>
              </w:rPr>
            </w:pPr>
            <w:r w:rsidRPr="54DA9842">
              <w:rPr>
                <w:rFonts w:ascii="Arial" w:hAnsi="Arial" w:eastAsia="Arial" w:cs="Arial"/>
                <w:color w:val="000000" w:themeColor="text1"/>
                <w:sz w:val="20"/>
                <w:szCs w:val="20"/>
              </w:rPr>
              <w:t>CAN</w:t>
            </w:r>
            <w:r>
              <w:tab/>
            </w:r>
            <w:r w:rsidRPr="54DA9842">
              <w:rPr>
                <w:rFonts w:ascii="Arial" w:hAnsi="Arial" w:eastAsia="Arial" w:cs="Arial"/>
                <w:color w:val="000000" w:themeColor="text1"/>
                <w:sz w:val="20"/>
                <w:szCs w:val="20"/>
              </w:rPr>
              <w:t>–</w:t>
            </w:r>
            <w:r>
              <w:tab/>
            </w:r>
            <w:r w:rsidRPr="54DA9842">
              <w:rPr>
                <w:rFonts w:ascii="Arial" w:hAnsi="Arial" w:eastAsia="Arial" w:cs="Arial"/>
                <w:color w:val="000000" w:themeColor="text1"/>
                <w:sz w:val="20"/>
                <w:szCs w:val="20"/>
              </w:rPr>
              <w:t>Comunidad Andina de Naciones</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F9420F7" w14:textId="5AAE314E">
            <w:pPr>
              <w:pStyle w:val="TableParagraph"/>
              <w:spacing w:before="115"/>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6D968283" w14:textId="2E0364A9">
            <w:pPr>
              <w:pStyle w:val="TableParagraph"/>
              <w:spacing w:before="115"/>
              <w:ind w:left="23" w:right="19"/>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EB72479" w14:textId="2FC2E9A6">
            <w:pPr>
              <w:pStyle w:val="TableParagraph"/>
              <w:spacing w:before="115"/>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3DD8D529" w14:textId="6CF7AEC7">
            <w:pPr>
              <w:pStyle w:val="TableParagraph"/>
              <w:spacing w:before="115"/>
              <w:ind w:left="7" w:right="3"/>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r w:rsidR="54DA9842" w:rsidTr="54DA9842" w14:paraId="47773B76" w14:textId="77777777">
        <w:trPr>
          <w:trHeight w:val="285"/>
        </w:trPr>
        <w:tc>
          <w:tcPr>
            <w:tcW w:w="2460" w:type="dxa"/>
            <w:gridSpan w:val="2"/>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4B9E749E" w14:textId="67E8B805">
            <w:pPr>
              <w:pStyle w:val="TableParagraph"/>
              <w:spacing w:before="35"/>
              <w:ind w:left="136"/>
              <w:rPr>
                <w:rFonts w:ascii="Arial" w:hAnsi="Arial" w:eastAsia="Arial" w:cs="Arial"/>
                <w:color w:val="000000" w:themeColor="text1"/>
                <w:sz w:val="20"/>
                <w:szCs w:val="20"/>
              </w:rPr>
            </w:pPr>
            <w:r w:rsidRPr="54DA9842">
              <w:rPr>
                <w:rFonts w:ascii="Arial" w:hAnsi="Arial" w:eastAsia="Arial" w:cs="Arial"/>
                <w:color w:val="000000" w:themeColor="text1"/>
                <w:sz w:val="20"/>
                <w:szCs w:val="20"/>
              </w:rPr>
              <w:t>Israel</w:t>
            </w:r>
          </w:p>
        </w:tc>
        <w:tc>
          <w:tcPr>
            <w:tcW w:w="121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B4BC716" w14:textId="5327A851">
            <w:pPr>
              <w:pStyle w:val="TableParagraph"/>
              <w:spacing w:before="35"/>
              <w:ind w:left="8"/>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SI</w:t>
            </w:r>
          </w:p>
        </w:tc>
        <w:tc>
          <w:tcPr>
            <w:tcW w:w="193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54916257" w14:textId="248693AA">
            <w:pPr>
              <w:pStyle w:val="TableParagraph"/>
              <w:spacing w:before="35"/>
              <w:ind w:left="23" w:right="1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c>
          <w:tcPr>
            <w:tcW w:w="20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75E41ACC" w14:textId="1080F303">
            <w:pPr>
              <w:pStyle w:val="TableParagraph"/>
              <w:spacing w:before="35"/>
              <w:ind w:left="6"/>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N/A</w:t>
            </w:r>
          </w:p>
        </w:tc>
        <w:tc>
          <w:tcPr>
            <w:tcW w:w="177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left w:w="105" w:type="dxa"/>
              <w:right w:w="105" w:type="dxa"/>
            </w:tcMar>
          </w:tcPr>
          <w:p w:rsidR="54DA9842" w:rsidP="54DA9842" w:rsidRDefault="54DA9842" w14:paraId="4F9E0F73" w14:textId="19C03063">
            <w:pPr>
              <w:pStyle w:val="TableParagraph"/>
              <w:spacing w:before="35"/>
              <w:ind w:left="7"/>
              <w:jc w:val="center"/>
              <w:rPr>
                <w:rFonts w:ascii="Arial" w:hAnsi="Arial" w:eastAsia="Arial" w:cs="Arial"/>
                <w:color w:val="000000" w:themeColor="text1"/>
                <w:sz w:val="20"/>
                <w:szCs w:val="20"/>
              </w:rPr>
            </w:pPr>
            <w:r w:rsidRPr="54DA9842">
              <w:rPr>
                <w:rFonts w:ascii="Arial" w:hAnsi="Arial" w:eastAsia="Arial" w:cs="Arial"/>
                <w:color w:val="000000" w:themeColor="text1"/>
                <w:sz w:val="20"/>
                <w:szCs w:val="20"/>
              </w:rPr>
              <w:t>NO</w:t>
            </w:r>
          </w:p>
        </w:tc>
      </w:tr>
    </w:tbl>
    <w:p w:rsidR="642F5958" w:rsidP="54DA9842" w:rsidRDefault="642F5958" w14:paraId="1131BB07" w14:textId="50DBBCF6">
      <w:pPr>
        <w:pStyle w:val="Textoindependiente"/>
        <w:rPr>
          <w:rFonts w:ascii="Arial" w:hAnsi="Arial" w:eastAsia="Arial" w:cs="Arial"/>
          <w:color w:val="000000" w:themeColor="text1"/>
          <w:sz w:val="16"/>
          <w:szCs w:val="16"/>
        </w:rPr>
      </w:pPr>
      <w:r w:rsidRPr="54DA9842">
        <w:rPr>
          <w:rFonts w:ascii="Arial" w:hAnsi="Arial" w:eastAsia="Arial" w:cs="Arial"/>
          <w:color w:val="000000" w:themeColor="text1"/>
          <w:sz w:val="16"/>
          <w:szCs w:val="16"/>
          <w:lang w:val="es-CO"/>
        </w:rPr>
        <w:t>Fuente: Ley 2069 de 2020 – Artículo 35, - Ley de Emprendimiento, que introdujo modificaciones relacionadas con contratación pública y trato nacional en acuerdos comerciales. 2. Decreto 1860 de 2021 – Artículo 3</w:t>
      </w:r>
    </w:p>
    <w:p w:rsidR="54DA9842" w:rsidP="54DA9842" w:rsidRDefault="54DA9842" w14:paraId="2A6D40F8" w14:textId="2EAE1D58">
      <w:pPr>
        <w:widowControl w:val="0"/>
        <w:ind w:left="338" w:right="249"/>
        <w:jc w:val="both"/>
        <w:rPr>
          <w:rFonts w:ascii="Arial" w:hAnsi="Arial" w:eastAsia="Arial" w:cs="Arial"/>
          <w:color w:val="000000" w:themeColor="text1"/>
          <w:sz w:val="20"/>
          <w:szCs w:val="20"/>
        </w:rPr>
      </w:pPr>
    </w:p>
    <w:p w:rsidR="642F5958" w:rsidP="54DA9842" w:rsidRDefault="642F5958" w14:paraId="7ED927E2" w14:textId="16071D74">
      <w:pPr>
        <w:pStyle w:val="Textoindependiente"/>
        <w:widowControl w:val="0"/>
        <w:ind w:right="249"/>
        <w:rPr>
          <w:rFonts w:ascii="Arial" w:hAnsi="Arial" w:eastAsia="Arial" w:cs="Arial"/>
          <w:color w:val="000000" w:themeColor="text1"/>
          <w:sz w:val="20"/>
          <w:szCs w:val="20"/>
        </w:rPr>
      </w:pPr>
      <w:r w:rsidRPr="54DA9842">
        <w:rPr>
          <w:rFonts w:ascii="Arial" w:hAnsi="Arial" w:eastAsia="Arial" w:cs="Arial"/>
          <w:b/>
          <w:bCs/>
          <w:color w:val="000000" w:themeColor="text1"/>
          <w:sz w:val="20"/>
          <w:szCs w:val="20"/>
          <w:lang w:val="es-CO"/>
        </w:rPr>
        <w:t>NOTA 1:</w:t>
      </w:r>
      <w:r w:rsidRPr="54DA9842">
        <w:rPr>
          <w:rFonts w:ascii="Arial" w:hAnsi="Arial" w:eastAsia="Arial" w:cs="Arial"/>
          <w:color w:val="000000" w:themeColor="text1"/>
          <w:sz w:val="20"/>
          <w:szCs w:val="20"/>
          <w:lang w:val="es-CO"/>
        </w:rPr>
        <w:t xml:space="preserve"> Se concederá Trato Nacional a aquellos bienes, servicios y/o proveedores provenientes de estados con los cuales, a pesar de no existir un Acuerdo Comercial, el Gobierno Nacional ha certificado reciprocidad, de conformidad con lo establecido en el artículo 2.2.1.2.4.1.3. del Decreto 1082 de 2015 o la norma que lo sustituya o modifique. </w:t>
      </w:r>
    </w:p>
    <w:p w:rsidR="54DA9842" w:rsidP="54DA9842" w:rsidRDefault="54DA9842" w14:paraId="4119F8DC" w14:textId="1F5EB902">
      <w:pPr>
        <w:widowControl w:val="0"/>
        <w:ind w:left="338" w:right="249"/>
        <w:jc w:val="both"/>
        <w:rPr>
          <w:rFonts w:ascii="Arial" w:hAnsi="Arial" w:eastAsia="Arial" w:cs="Arial"/>
          <w:color w:val="000000" w:themeColor="text1"/>
          <w:sz w:val="20"/>
          <w:szCs w:val="20"/>
        </w:rPr>
      </w:pPr>
    </w:p>
    <w:p w:rsidR="642F5958" w:rsidP="54DA9842" w:rsidRDefault="642F5958" w14:paraId="233AC859" w14:textId="76BAB1C7">
      <w:pPr>
        <w:pStyle w:val="Textoindependiente"/>
        <w:widowControl w:val="0"/>
        <w:ind w:right="249"/>
        <w:rPr>
          <w:rFonts w:ascii="Arial" w:hAnsi="Arial" w:eastAsia="Arial" w:cs="Arial"/>
          <w:color w:val="000000" w:themeColor="text1"/>
          <w:sz w:val="20"/>
          <w:szCs w:val="20"/>
        </w:rPr>
      </w:pPr>
      <w:r w:rsidRPr="5CB1E3AC" w:rsidR="642F5958">
        <w:rPr>
          <w:rFonts w:ascii="Arial" w:hAnsi="Arial" w:eastAsia="Arial" w:cs="Arial"/>
          <w:b w:val="1"/>
          <w:bCs w:val="1"/>
          <w:color w:val="000000" w:themeColor="text1" w:themeTint="FF" w:themeShade="FF"/>
          <w:sz w:val="20"/>
          <w:szCs w:val="20"/>
          <w:lang w:val="es-CO"/>
        </w:rPr>
        <w:t>NOTA 2:</w:t>
      </w:r>
      <w:r w:rsidRPr="5CB1E3AC" w:rsidR="642F5958">
        <w:rPr>
          <w:rFonts w:ascii="Arial" w:hAnsi="Arial" w:eastAsia="Arial" w:cs="Arial"/>
          <w:color w:val="000000" w:themeColor="text1" w:themeTint="FF" w:themeShade="FF"/>
          <w:sz w:val="20"/>
          <w:szCs w:val="20"/>
          <w:lang w:val="es-CO"/>
        </w:rPr>
        <w:t xml:space="preserve"> De conformidad con lo dispuesto en el “MANUAL PARA EL MANEJO DE LOS ACUERDOS COMERCIALES EN PROCESOS DE CONTRATACIÓN”, expedido por la Agencia Nacional de Contratación Pública Colombia Compra Eficiente, Código: CCE-EICP-MA-07 V:02 Fecha: 08/11/2024, página 37: </w:t>
      </w:r>
      <w:r w:rsidRPr="5CB1E3AC" w:rsidR="642F5958">
        <w:rPr>
          <w:rFonts w:ascii="Arial" w:hAnsi="Arial" w:eastAsia="Arial" w:cs="Arial"/>
          <w:i w:val="1"/>
          <w:iCs w:val="1"/>
          <w:color w:val="000000" w:themeColor="text1" w:themeTint="FF" w:themeShade="FF"/>
          <w:sz w:val="20"/>
          <w:szCs w:val="20"/>
          <w:lang w:val="es-CO"/>
        </w:rPr>
        <w:t>“La Decisión 439 de 1998 de la Comisión de la CAN es aplicable a todos los Procesos de Contratación de las Entidades Estatales del nivel municipal obligadas, independientemente del valor del Proceso de Contratación siempre que se trate de procesos de contratación de servicios</w:t>
      </w:r>
      <w:r w:rsidRPr="5CB1E3AC" w:rsidR="642F5958">
        <w:rPr>
          <w:rFonts w:ascii="Arial" w:hAnsi="Arial" w:eastAsia="Arial" w:cs="Arial"/>
          <w:color w:val="000000" w:themeColor="text1" w:themeTint="FF" w:themeShade="FF"/>
          <w:sz w:val="20"/>
          <w:szCs w:val="20"/>
          <w:lang w:val="es-CO"/>
        </w:rPr>
        <w:t>”, acorde a ello no aplica la CAN para este proceso por tratarse de</w:t>
      </w:r>
      <w:r w:rsidRPr="5CB1E3AC" w:rsidR="642F5958">
        <w:rPr>
          <w:rFonts w:ascii="Arial" w:hAnsi="Arial" w:eastAsia="Arial" w:cs="Arial"/>
          <w:b w:val="1"/>
          <w:bCs w:val="1"/>
          <w:color w:val="000000" w:themeColor="text1" w:themeTint="FF" w:themeShade="FF"/>
          <w:sz w:val="20"/>
          <w:szCs w:val="20"/>
          <w:lang w:val="es-CO"/>
        </w:rPr>
        <w:t xml:space="preserve"> CONTRATO DE SUMINISTRO – </w:t>
      </w:r>
      <w:commentRangeStart w:id="718920831"/>
      <w:r w:rsidRPr="5CB1E3AC" w:rsidR="642F5958">
        <w:rPr>
          <w:rFonts w:ascii="Arial" w:hAnsi="Arial" w:eastAsia="Arial" w:cs="Arial"/>
          <w:b w:val="1"/>
          <w:bCs w:val="1"/>
          <w:i w:val="0"/>
          <w:iCs w:val="0"/>
          <w:color w:val="000000" w:themeColor="text1" w:themeTint="FF" w:themeShade="FF"/>
          <w:sz w:val="20"/>
          <w:szCs w:val="20"/>
          <w:lang w:val="es-CO"/>
        </w:rPr>
        <w:t>(BIENES)</w:t>
      </w:r>
      <w:commentRangeEnd w:id="718920831"/>
      <w:r>
        <w:rPr>
          <w:rStyle w:val="CommentReference"/>
        </w:rPr>
        <w:commentReference w:id="718920831"/>
      </w:r>
      <w:r w:rsidRPr="5CB1E3AC" w:rsidR="642F5958">
        <w:rPr>
          <w:rFonts w:ascii="Arial" w:hAnsi="Arial" w:eastAsia="Arial" w:cs="Arial"/>
          <w:color w:val="000000" w:themeColor="text1" w:themeTint="FF" w:themeShade="FF"/>
          <w:sz w:val="20"/>
          <w:szCs w:val="20"/>
          <w:lang w:val="es-CO"/>
        </w:rPr>
        <w:t>.</w:t>
      </w:r>
    </w:p>
    <w:p w:rsidR="54DA9842" w:rsidP="54DA9842" w:rsidRDefault="54DA9842" w14:paraId="6AD31E80" w14:textId="53848986">
      <w:pPr>
        <w:jc w:val="both"/>
        <w:rPr>
          <w:rFonts w:ascii="Arial" w:hAnsi="Arial" w:eastAsia="Arial" w:cs="Arial"/>
          <w:color w:val="000000" w:themeColor="text1"/>
          <w:sz w:val="21"/>
          <w:szCs w:val="21"/>
          <w:lang w:val="es-CO"/>
        </w:rPr>
      </w:pPr>
    </w:p>
    <w:p w:rsidR="38C6DAD0" w:rsidP="38C6DAD0" w:rsidRDefault="38C6DAD0" w14:paraId="683D4C12" w14:textId="02834721">
      <w:pPr>
        <w:jc w:val="both"/>
        <w:rPr>
          <w:rFonts w:ascii="Arial" w:hAnsi="Arial" w:eastAsia="Arial" w:cs="Arial"/>
          <w:sz w:val="21"/>
          <w:szCs w:val="21"/>
          <w:lang w:val="es-CO"/>
        </w:rPr>
      </w:pPr>
    </w:p>
    <w:p w:rsidRPr="00B028ED" w:rsidR="3E93C8B3" w:rsidP="3E93C8B3" w:rsidRDefault="3E93C8B3" w14:paraId="6B39A880" w14:textId="13848EF3">
      <w:pPr>
        <w:tabs>
          <w:tab w:val="left" w:pos="284"/>
        </w:tabs>
        <w:rPr>
          <w:rFonts w:ascii="Arial" w:hAnsi="Arial" w:cs="Arial"/>
          <w:b/>
          <w:bCs/>
          <w:sz w:val="21"/>
          <w:szCs w:val="21"/>
          <w:lang w:val="es-CO"/>
        </w:rPr>
      </w:pPr>
    </w:p>
    <w:p w:rsidRPr="00B028ED" w:rsidR="004E1F85" w:rsidP="00D86FE0" w:rsidRDefault="00276D79" w14:paraId="701D56CB" w14:textId="1E764E5C">
      <w:pPr>
        <w:pStyle w:val="Textoindependiente"/>
        <w:numPr>
          <w:ilvl w:val="0"/>
          <w:numId w:val="12"/>
        </w:numPr>
        <w:tabs>
          <w:tab w:val="left" w:pos="284"/>
        </w:tabs>
        <w:ind w:left="0" w:firstLine="0"/>
        <w:rPr>
          <w:rFonts w:ascii="Arial" w:hAnsi="Arial" w:cs="Arial"/>
          <w:b/>
          <w:sz w:val="21"/>
          <w:szCs w:val="21"/>
          <w:lang w:val="es-CO"/>
        </w:rPr>
      </w:pPr>
      <w:r w:rsidRPr="00B028ED">
        <w:rPr>
          <w:rFonts w:ascii="Arial" w:hAnsi="Arial" w:cs="Arial"/>
          <w:b/>
          <w:bCs/>
          <w:sz w:val="21"/>
          <w:szCs w:val="21"/>
          <w:lang w:val="es-CO"/>
        </w:rPr>
        <w:t>ANÁLISIS DEL ASPECTO ECONÓMICO</w:t>
      </w:r>
      <w:r w:rsidRPr="00B028ED">
        <w:rPr>
          <w:rFonts w:ascii="Arial" w:hAnsi="Arial" w:cs="Arial"/>
          <w:b/>
          <w:sz w:val="21"/>
          <w:szCs w:val="21"/>
          <w:lang w:val="es-CO"/>
        </w:rPr>
        <w:t xml:space="preserve"> </w:t>
      </w:r>
    </w:p>
    <w:p w:rsidRPr="00B028ED" w:rsidR="00BC40DD" w:rsidP="00D86FE0" w:rsidRDefault="00BC40DD" w14:paraId="3BA8E269" w14:textId="59029874">
      <w:pPr>
        <w:pStyle w:val="Textoindependiente"/>
        <w:tabs>
          <w:tab w:val="left" w:pos="284"/>
        </w:tabs>
        <w:rPr>
          <w:rFonts w:ascii="Arial" w:hAnsi="Arial" w:cs="Arial"/>
          <w:b/>
          <w:sz w:val="21"/>
          <w:szCs w:val="21"/>
          <w:lang w:val="es-CO"/>
        </w:rPr>
      </w:pPr>
    </w:p>
    <w:p w:rsidRPr="00B028ED" w:rsidR="00BC40DD" w:rsidP="00D86FE0" w:rsidRDefault="00BC40DD" w14:paraId="2249AB03" w14:textId="62A957DC">
      <w:pPr>
        <w:ind w:left="1416" w:hanging="1416"/>
        <w:jc w:val="both"/>
        <w:rPr>
          <w:rFonts w:ascii="Arial" w:hAnsi="Arial" w:eastAsia="Arial" w:cs="Arial"/>
          <w:sz w:val="21"/>
          <w:szCs w:val="21"/>
        </w:rPr>
      </w:pPr>
      <w:r w:rsidRPr="00B028ED">
        <w:rPr>
          <w:rFonts w:ascii="Arial" w:hAnsi="Arial" w:eastAsia="Arial" w:cs="Arial"/>
          <w:b/>
          <w:bCs/>
          <w:sz w:val="21"/>
          <w:szCs w:val="21"/>
        </w:rPr>
        <w:t>Productos incluidos dentro del sector:</w:t>
      </w:r>
      <w:r w:rsidRPr="00B028ED">
        <w:rPr>
          <w:rFonts w:ascii="Arial" w:hAnsi="Arial" w:eastAsia="Arial" w:cs="Arial"/>
          <w:sz w:val="21"/>
          <w:szCs w:val="21"/>
        </w:rPr>
        <w:t xml:space="preserve"> </w:t>
      </w:r>
    </w:p>
    <w:p w:rsidRPr="00B028ED" w:rsidR="00BC40DD" w:rsidP="00D86FE0" w:rsidRDefault="00BC40DD" w14:paraId="13541861" w14:textId="3C841D54">
      <w:pPr>
        <w:jc w:val="both"/>
        <w:rPr>
          <w:rFonts w:ascii="Arial" w:hAnsi="Arial" w:eastAsia="Arial" w:cs="Arial"/>
          <w:sz w:val="21"/>
          <w:szCs w:val="21"/>
        </w:rPr>
      </w:pPr>
      <w:r w:rsidRPr="00B028ED">
        <w:rPr>
          <w:rFonts w:ascii="Arial" w:hAnsi="Arial" w:eastAsia="Arial" w:cs="Arial"/>
          <w:sz w:val="21"/>
          <w:szCs w:val="21"/>
        </w:rPr>
        <w:t xml:space="preserve">Dentro del sector de Importación de mercancías hay una infinidad de productos de todos los sectores industriales, tecnológicos y de servicios. En un marco más detallado, el Sector Salud Importa y comercializa un sin fin de insumos, materiales y equipos para prestar toda clase de </w:t>
      </w:r>
      <w:r w:rsidRPr="00B028ED">
        <w:rPr>
          <w:rFonts w:ascii="Arial" w:hAnsi="Arial" w:eastAsia="Arial" w:cs="Arial"/>
          <w:sz w:val="21"/>
          <w:szCs w:val="21"/>
        </w:rPr>
        <w:t>servicios médicos, hospitalarios, laboratorios y demás de salud. Entre estos diferentes productos médicos que se pueden comercializar tenemos los siguientes:</w:t>
      </w:r>
    </w:p>
    <w:p w:rsidRPr="00B028ED" w:rsidR="00344611" w:rsidP="00D86FE0" w:rsidRDefault="00344611" w14:paraId="3365FAB4" w14:textId="77777777">
      <w:pPr>
        <w:jc w:val="both"/>
        <w:rPr>
          <w:rFonts w:ascii="Arial" w:hAnsi="Arial" w:eastAsia="Arial" w:cs="Arial"/>
          <w:sz w:val="21"/>
          <w:szCs w:val="21"/>
        </w:rPr>
      </w:pPr>
    </w:p>
    <w:p w:rsidRPr="00B028ED" w:rsidR="00BC40DD" w:rsidP="00D86FE0" w:rsidRDefault="00BC40DD" w14:paraId="1C37E9ED"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Equipo médico</w:t>
      </w:r>
    </w:p>
    <w:p w:rsidRPr="00B028ED" w:rsidR="00BC40DD" w:rsidP="00D86FE0" w:rsidRDefault="00BC40DD" w14:paraId="2815F4C7"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Respiradores</w:t>
      </w:r>
    </w:p>
    <w:p w:rsidRPr="00B028ED" w:rsidR="00BC40DD" w:rsidP="00D86FE0" w:rsidRDefault="00BC40DD" w14:paraId="6D5C3B4D"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Suministros médicos</w:t>
      </w:r>
    </w:p>
    <w:p w:rsidRPr="00B028ED" w:rsidR="00BC40DD" w:rsidP="00D86FE0" w:rsidRDefault="00BC40DD" w14:paraId="065BDDFB"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Equipos de pruebas y reactivos de diagnóstico</w:t>
      </w:r>
    </w:p>
    <w:p w:rsidRPr="00B028ED" w:rsidR="00BC40DD" w:rsidP="00D86FE0" w:rsidRDefault="00BC40DD" w14:paraId="0D5F93F8"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 xml:space="preserve">Medicamentos </w:t>
      </w:r>
    </w:p>
    <w:p w:rsidRPr="00B028ED" w:rsidR="00BC40DD" w:rsidP="00D86FE0" w:rsidRDefault="00BC40DD" w14:paraId="26BC43E6"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Productos de protección personal</w:t>
      </w:r>
    </w:p>
    <w:p w:rsidRPr="00B028ED" w:rsidR="00BC40DD" w:rsidP="00D86FE0" w:rsidRDefault="00BC40DD" w14:paraId="1F8587E1"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 xml:space="preserve">Mascarillas </w:t>
      </w:r>
    </w:p>
    <w:p w:rsidRPr="00B028ED" w:rsidR="00BC40DD" w:rsidP="00D86FE0" w:rsidRDefault="00BC40DD" w14:paraId="60BA747D"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 xml:space="preserve">Desinfectantes para manos </w:t>
      </w:r>
    </w:p>
    <w:p w:rsidRPr="00B028ED" w:rsidR="00BC40DD" w:rsidP="00D86FE0" w:rsidRDefault="00BC40DD" w14:paraId="6C13D0A0"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 xml:space="preserve">Jabón de manos  </w:t>
      </w:r>
    </w:p>
    <w:p w:rsidRPr="00B028ED" w:rsidR="00BC40DD" w:rsidP="00D86FE0" w:rsidRDefault="00BC40DD" w14:paraId="4F377592" w14:textId="77777777">
      <w:pPr>
        <w:pStyle w:val="Prrafodelista"/>
        <w:numPr>
          <w:ilvl w:val="0"/>
          <w:numId w:val="23"/>
        </w:numPr>
        <w:contextualSpacing/>
        <w:jc w:val="both"/>
        <w:rPr>
          <w:rFonts w:ascii="Arial" w:hAnsi="Arial" w:eastAsia="Arial" w:cs="Arial"/>
          <w:sz w:val="21"/>
          <w:szCs w:val="21"/>
        </w:rPr>
      </w:pPr>
      <w:r w:rsidRPr="00B028ED">
        <w:rPr>
          <w:rFonts w:ascii="Arial" w:hAnsi="Arial" w:eastAsia="Arial" w:cs="Arial"/>
          <w:sz w:val="21"/>
          <w:szCs w:val="21"/>
        </w:rPr>
        <w:t>Otros productos para la protección</w:t>
      </w:r>
    </w:p>
    <w:p w:rsidRPr="00B028ED" w:rsidR="00BC40DD" w:rsidP="00D86FE0" w:rsidRDefault="00BC40DD" w14:paraId="1DA64E2A" w14:textId="77777777">
      <w:pPr>
        <w:jc w:val="both"/>
        <w:rPr>
          <w:rFonts w:ascii="Arial" w:hAnsi="Arial" w:eastAsia="Arial" w:cs="Arial"/>
          <w:sz w:val="21"/>
          <w:szCs w:val="21"/>
        </w:rPr>
      </w:pPr>
    </w:p>
    <w:p w:rsidRPr="00B028ED" w:rsidR="00BC40DD" w:rsidP="00D86FE0" w:rsidRDefault="00BC40DD" w14:paraId="101158DC" w14:textId="6E3392FD">
      <w:pPr>
        <w:jc w:val="both"/>
        <w:rPr>
          <w:rFonts w:ascii="Arial" w:hAnsi="Arial" w:eastAsia="Arial" w:cs="Arial"/>
          <w:sz w:val="21"/>
          <w:szCs w:val="21"/>
        </w:rPr>
      </w:pPr>
      <w:r w:rsidRPr="00B028ED">
        <w:rPr>
          <w:rFonts w:ascii="Arial" w:hAnsi="Arial" w:eastAsia="Arial" w:cs="Arial"/>
          <w:sz w:val="21"/>
          <w:szCs w:val="21"/>
        </w:rPr>
        <w:t xml:space="preserve">Es de aclarar que hay algunos que toman importancia desde el inicio de la pandemia. Los medicamentos siguen siendo la categoría más importante por valor del comercio, con más del </w:t>
      </w:r>
      <w:r w:rsidRPr="00B028ED" w:rsidR="000D545D">
        <w:rPr>
          <w:rFonts w:ascii="Arial" w:hAnsi="Arial" w:eastAsia="Arial" w:cs="Arial"/>
          <w:sz w:val="21"/>
          <w:szCs w:val="21"/>
        </w:rPr>
        <w:t>6</w:t>
      </w:r>
      <w:r w:rsidRPr="00B028ED">
        <w:rPr>
          <w:rFonts w:ascii="Arial" w:hAnsi="Arial" w:eastAsia="Arial" w:cs="Arial"/>
          <w:sz w:val="21"/>
          <w:szCs w:val="21"/>
        </w:rPr>
        <w:t>0% de la proporción total de productos médicos</w:t>
      </w:r>
      <w:r w:rsidRPr="00B028ED" w:rsidR="000D545D">
        <w:rPr>
          <w:rFonts w:ascii="Arial" w:hAnsi="Arial" w:eastAsia="Arial" w:cs="Arial"/>
          <w:sz w:val="21"/>
          <w:szCs w:val="21"/>
        </w:rPr>
        <w:t>.</w:t>
      </w:r>
    </w:p>
    <w:p w:rsidRPr="00B028ED" w:rsidR="00BC40DD" w:rsidP="00D86FE0" w:rsidRDefault="00BC40DD" w14:paraId="048A9ADC" w14:textId="77777777">
      <w:pPr>
        <w:jc w:val="both"/>
        <w:rPr>
          <w:rFonts w:ascii="Arial" w:hAnsi="Arial" w:eastAsia="Arial" w:cs="Arial"/>
          <w:sz w:val="21"/>
          <w:szCs w:val="21"/>
        </w:rPr>
      </w:pPr>
    </w:p>
    <w:p w:rsidRPr="00B028ED" w:rsidR="00BC40DD" w:rsidP="00D86FE0" w:rsidRDefault="00BC40DD" w14:paraId="5463A078" w14:textId="00B7F668">
      <w:pPr>
        <w:jc w:val="both"/>
        <w:rPr>
          <w:rFonts w:ascii="Arial" w:hAnsi="Arial" w:eastAsia="Arial" w:cs="Arial"/>
          <w:sz w:val="21"/>
          <w:szCs w:val="21"/>
        </w:rPr>
      </w:pPr>
      <w:r w:rsidRPr="00B028ED">
        <w:rPr>
          <w:rFonts w:ascii="Arial" w:hAnsi="Arial" w:eastAsia="Arial" w:cs="Arial"/>
          <w:b/>
          <w:bCs/>
          <w:sz w:val="21"/>
          <w:szCs w:val="21"/>
        </w:rPr>
        <w:t>Agentes que componen el sector:</w:t>
      </w:r>
      <w:r w:rsidRPr="00B028ED">
        <w:rPr>
          <w:rFonts w:ascii="Arial" w:hAnsi="Arial" w:eastAsia="Arial" w:cs="Arial"/>
          <w:sz w:val="21"/>
          <w:szCs w:val="21"/>
        </w:rPr>
        <w:t xml:space="preserve"> Dentro del sector de comercio de mercancías tenemos entidades gubernamentales o mixtas que ejercen alguna intermediación o regulación sobre el comercio de mercancías </w:t>
      </w:r>
      <w:r w:rsidRPr="00B028ED" w:rsidR="000D545D">
        <w:rPr>
          <w:rFonts w:ascii="Arial" w:hAnsi="Arial" w:eastAsia="Arial" w:cs="Arial"/>
          <w:sz w:val="21"/>
          <w:szCs w:val="21"/>
        </w:rPr>
        <w:t>entre las cuales se encuentran</w:t>
      </w:r>
      <w:r w:rsidRPr="00B028ED">
        <w:rPr>
          <w:rFonts w:ascii="Arial" w:hAnsi="Arial" w:eastAsia="Arial" w:cs="Arial"/>
          <w:sz w:val="21"/>
          <w:szCs w:val="21"/>
        </w:rPr>
        <w:t xml:space="preserve"> las siguientes:</w:t>
      </w:r>
    </w:p>
    <w:p w:rsidRPr="00B028ED" w:rsidR="00BC40DD" w:rsidP="00D86FE0" w:rsidRDefault="00BC40DD" w14:paraId="0D0FFE6D" w14:textId="77777777">
      <w:pPr>
        <w:jc w:val="both"/>
        <w:rPr>
          <w:rFonts w:ascii="Arial" w:hAnsi="Arial" w:eastAsia="Arial" w:cs="Arial"/>
          <w:sz w:val="21"/>
          <w:szCs w:val="21"/>
        </w:rPr>
      </w:pPr>
    </w:p>
    <w:p w:rsidRPr="00B028ED" w:rsidR="00BC40DD" w:rsidP="00D86FE0" w:rsidRDefault="00BC40DD" w14:paraId="39A0657A"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Ministerio de Comercio, Industria y Turismo</w:t>
      </w:r>
    </w:p>
    <w:p w:rsidR="00BC40DD" w:rsidP="00D86FE0" w:rsidRDefault="00BC40DD" w14:paraId="197E571A" w14:textId="419A4290">
      <w:pPr>
        <w:jc w:val="both"/>
        <w:rPr>
          <w:rFonts w:ascii="Arial" w:hAnsi="Arial" w:eastAsia="Arial" w:cs="Arial"/>
          <w:sz w:val="21"/>
          <w:szCs w:val="21"/>
        </w:rPr>
      </w:pPr>
      <w:r w:rsidRPr="00B028ED">
        <w:rPr>
          <w:rFonts w:ascii="Arial" w:hAnsi="Arial" w:eastAsia="Arial" w:cs="Arial"/>
          <w:sz w:val="21"/>
          <w:szCs w:val="21"/>
        </w:rPr>
        <w:t xml:space="preserve">El Ministerio de Comercio, Industria y Turismo tiene como objetivo </w:t>
      </w:r>
      <w:r w:rsidRPr="00B028ED" w:rsidR="000D545D">
        <w:rPr>
          <w:rFonts w:ascii="Arial" w:hAnsi="Arial" w:eastAsia="Arial" w:cs="Arial"/>
          <w:sz w:val="21"/>
          <w:szCs w:val="21"/>
        </w:rPr>
        <w:t>principal</w:t>
      </w:r>
      <w:r w:rsidRPr="00B028ED">
        <w:rPr>
          <w:rFonts w:ascii="Arial" w:hAnsi="Arial" w:eastAsia="Arial" w:cs="Arial"/>
          <w:sz w:val="21"/>
          <w:szCs w:val="21"/>
        </w:rPr>
        <w:t xml:space="preserve"> dentro del marco de su competencia formular, adoptar, dirigir y coordinar las políticas generales en materia de desarrollo económico y social del país, relacionadas con competitividad, integración y desarrollo de los sectores productivos de la industria, la micro, mediana</w:t>
      </w:r>
      <w:r w:rsidRPr="00B028ED" w:rsidR="000D545D">
        <w:rPr>
          <w:rFonts w:ascii="Arial" w:hAnsi="Arial" w:eastAsia="Arial" w:cs="Arial"/>
          <w:sz w:val="21"/>
          <w:szCs w:val="21"/>
        </w:rPr>
        <w:t xml:space="preserve"> y pequeña</w:t>
      </w:r>
      <w:r w:rsidRPr="00B028ED">
        <w:rPr>
          <w:rFonts w:ascii="Arial" w:hAnsi="Arial" w:eastAsia="Arial" w:cs="Arial"/>
          <w:sz w:val="21"/>
          <w:szCs w:val="21"/>
        </w:rPr>
        <w:t xml:space="preserve"> empresa, el comercio exterior de bienes, servicios y tecnología, la promoción de la inversión extranjera, el comercio interno y el turismo; y ejecutar las políticas, planes generales, programas y proyectos de comercio exterior.</w:t>
      </w:r>
    </w:p>
    <w:p w:rsidR="00B028ED" w:rsidP="00D86FE0" w:rsidRDefault="00B028ED" w14:paraId="55F8624E" w14:textId="14448F0E">
      <w:pPr>
        <w:jc w:val="both"/>
        <w:rPr>
          <w:rFonts w:ascii="Arial" w:hAnsi="Arial" w:eastAsia="Arial" w:cs="Arial"/>
          <w:sz w:val="21"/>
          <w:szCs w:val="21"/>
        </w:rPr>
      </w:pPr>
    </w:p>
    <w:p w:rsidRPr="00B028ED" w:rsidR="000D545D" w:rsidP="00D86FE0" w:rsidRDefault="000D545D" w14:paraId="33BDF0FC"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Fondo Nacional de Garantías S.A.</w:t>
      </w:r>
    </w:p>
    <w:p w:rsidRPr="00B028ED" w:rsidR="000D545D" w:rsidP="00D86FE0" w:rsidRDefault="000D545D" w14:paraId="6A82BC1C" w14:textId="37DBACA8">
      <w:pPr>
        <w:jc w:val="both"/>
        <w:rPr>
          <w:rFonts w:ascii="Arial" w:hAnsi="Arial" w:eastAsia="Arial" w:cs="Arial"/>
          <w:sz w:val="21"/>
          <w:szCs w:val="21"/>
        </w:rPr>
      </w:pPr>
      <w:r w:rsidRPr="00B028ED">
        <w:rPr>
          <w:rFonts w:ascii="Arial" w:hAnsi="Arial" w:eastAsia="Arial" w:cs="Arial"/>
          <w:sz w:val="21"/>
          <w:szCs w:val="21"/>
        </w:rPr>
        <w:t xml:space="preserve">Entidad de economía mixta, que ha evolucionado para contribuir con el desarrollo sostenible del país otorgando garantías que permitan a la </w:t>
      </w:r>
      <w:proofErr w:type="spellStart"/>
      <w:r w:rsidRPr="00B028ED">
        <w:rPr>
          <w:rFonts w:ascii="Arial" w:hAnsi="Arial" w:eastAsia="Arial" w:cs="Arial"/>
          <w:sz w:val="21"/>
          <w:szCs w:val="21"/>
        </w:rPr>
        <w:t>mipyme</w:t>
      </w:r>
      <w:proofErr w:type="spellEnd"/>
      <w:r w:rsidRPr="00B028ED">
        <w:rPr>
          <w:rFonts w:ascii="Arial" w:hAnsi="Arial" w:eastAsia="Arial" w:cs="Arial"/>
          <w:sz w:val="21"/>
          <w:szCs w:val="21"/>
        </w:rPr>
        <w:t xml:space="preserve"> (personas naturales o jurídicas) de todos los sectores económicos (excepto del sector agropecuario), el acceso al crédito ante los intermediarios financieros, para proyectos viables y que requieran financiación y no cuenten con garantías suficientes.</w:t>
      </w:r>
    </w:p>
    <w:p w:rsidRPr="00B028ED" w:rsidR="00BC40DD" w:rsidP="00D86FE0" w:rsidRDefault="00BC40DD" w14:paraId="1EE04B9A" w14:textId="77777777">
      <w:pPr>
        <w:jc w:val="both"/>
        <w:rPr>
          <w:rFonts w:ascii="Arial" w:hAnsi="Arial" w:eastAsia="Arial" w:cs="Arial"/>
          <w:sz w:val="21"/>
          <w:szCs w:val="21"/>
        </w:rPr>
      </w:pPr>
    </w:p>
    <w:p w:rsidRPr="00B028ED" w:rsidR="00BC40DD" w:rsidP="00D86FE0" w:rsidRDefault="000D545D" w14:paraId="1DC10D8B" w14:textId="4E9C59E9">
      <w:pPr>
        <w:jc w:val="both"/>
        <w:rPr>
          <w:rFonts w:ascii="Arial" w:hAnsi="Arial" w:eastAsia="Arial" w:cs="Arial"/>
          <w:i/>
          <w:iCs/>
          <w:sz w:val="21"/>
          <w:szCs w:val="21"/>
          <w:u w:val="single"/>
        </w:rPr>
      </w:pPr>
      <w:r w:rsidRPr="00B028ED">
        <w:rPr>
          <w:rFonts w:ascii="Arial" w:hAnsi="Arial" w:eastAsia="Arial" w:cs="Arial"/>
          <w:i/>
          <w:iCs/>
          <w:sz w:val="21"/>
          <w:szCs w:val="21"/>
          <w:u w:val="single"/>
        </w:rPr>
        <w:t>Bancóldex</w:t>
      </w:r>
      <w:r w:rsidRPr="00B028ED" w:rsidR="00BC40DD">
        <w:rPr>
          <w:rFonts w:ascii="Arial" w:hAnsi="Arial" w:eastAsia="Arial" w:cs="Arial"/>
          <w:i/>
          <w:iCs/>
          <w:sz w:val="21"/>
          <w:szCs w:val="21"/>
          <w:u w:val="single"/>
        </w:rPr>
        <w:t xml:space="preserve"> S.A.</w:t>
      </w:r>
    </w:p>
    <w:p w:rsidRPr="00B028ED" w:rsidR="00BC40DD" w:rsidP="00D86FE0" w:rsidRDefault="00BC40DD" w14:paraId="06D59F4A" w14:textId="766C1FE3">
      <w:pPr>
        <w:jc w:val="both"/>
        <w:rPr>
          <w:rFonts w:ascii="Arial" w:hAnsi="Arial" w:eastAsia="Arial" w:cs="Arial"/>
          <w:sz w:val="21"/>
          <w:szCs w:val="21"/>
        </w:rPr>
      </w:pPr>
      <w:r w:rsidRPr="00B028ED">
        <w:rPr>
          <w:rFonts w:ascii="Arial" w:hAnsi="Arial" w:eastAsia="Arial" w:cs="Arial"/>
          <w:sz w:val="21"/>
          <w:szCs w:val="21"/>
        </w:rPr>
        <w:t>Inició</w:t>
      </w:r>
      <w:r w:rsidRPr="00B028ED" w:rsidR="000D545D">
        <w:rPr>
          <w:rFonts w:ascii="Arial" w:hAnsi="Arial" w:eastAsia="Arial" w:cs="Arial"/>
          <w:sz w:val="21"/>
          <w:szCs w:val="21"/>
        </w:rPr>
        <w:t xml:space="preserve"> sus</w:t>
      </w:r>
      <w:r w:rsidRPr="00B028ED">
        <w:rPr>
          <w:rFonts w:ascii="Arial" w:hAnsi="Arial" w:eastAsia="Arial" w:cs="Arial"/>
          <w:sz w:val="21"/>
          <w:szCs w:val="21"/>
        </w:rPr>
        <w:t xml:space="preserve"> operaciones en 1992, siendo el Gobierno Nacional su mayor accionista. Opera en Colombia como un Banco de Redescuento, que ofrece productos y servicios financieros a las empresas que forman parte de la cadena exportadora de bienes y servicios colombianos. En el exterior suministra, por conducto de bancos previamente calificados, financiación para el importador de bienes y servicios colombianos y sirve de instrumento financiero del estado colombiano para respaldar el Plan Estratégico Exportador.</w:t>
      </w:r>
    </w:p>
    <w:p w:rsidRPr="00B028ED" w:rsidR="000D545D" w:rsidP="00D86FE0" w:rsidRDefault="000D545D" w14:paraId="13E215FB" w14:textId="77777777">
      <w:pPr>
        <w:jc w:val="both"/>
        <w:rPr>
          <w:rFonts w:ascii="Arial" w:hAnsi="Arial" w:eastAsia="Arial" w:cs="Arial"/>
          <w:i/>
          <w:iCs/>
          <w:sz w:val="21"/>
          <w:szCs w:val="21"/>
        </w:rPr>
      </w:pPr>
    </w:p>
    <w:p w:rsidR="007878F0" w:rsidP="00D86FE0" w:rsidRDefault="007878F0" w14:paraId="71D31173" w14:textId="77777777">
      <w:pPr>
        <w:jc w:val="both"/>
        <w:rPr>
          <w:rFonts w:ascii="Arial" w:hAnsi="Arial" w:eastAsia="Arial" w:cs="Arial"/>
          <w:i/>
          <w:iCs/>
          <w:sz w:val="21"/>
          <w:szCs w:val="21"/>
          <w:u w:val="single"/>
        </w:rPr>
      </w:pPr>
    </w:p>
    <w:p w:rsidR="007878F0" w:rsidP="00D86FE0" w:rsidRDefault="007878F0" w14:paraId="4F80A19B" w14:textId="77777777">
      <w:pPr>
        <w:jc w:val="both"/>
        <w:rPr>
          <w:rFonts w:ascii="Arial" w:hAnsi="Arial" w:eastAsia="Arial" w:cs="Arial"/>
          <w:i/>
          <w:iCs/>
          <w:sz w:val="21"/>
          <w:szCs w:val="21"/>
          <w:u w:val="single"/>
        </w:rPr>
      </w:pPr>
    </w:p>
    <w:p w:rsidRPr="00B028ED" w:rsidR="000D545D" w:rsidP="00D86FE0" w:rsidRDefault="000D545D" w14:paraId="39F945D2" w14:textId="49515041">
      <w:pPr>
        <w:jc w:val="both"/>
        <w:rPr>
          <w:rFonts w:ascii="Arial" w:hAnsi="Arial" w:eastAsia="Arial" w:cs="Arial"/>
          <w:i/>
          <w:iCs/>
          <w:sz w:val="21"/>
          <w:szCs w:val="21"/>
          <w:u w:val="single"/>
        </w:rPr>
      </w:pPr>
      <w:r w:rsidRPr="00B028ED">
        <w:rPr>
          <w:rFonts w:ascii="Arial" w:hAnsi="Arial" w:eastAsia="Arial" w:cs="Arial"/>
          <w:i/>
          <w:iCs/>
          <w:sz w:val="21"/>
          <w:szCs w:val="21"/>
          <w:u w:val="single"/>
        </w:rPr>
        <w:t>DIAN</w:t>
      </w:r>
    </w:p>
    <w:p w:rsidRPr="00B028ED" w:rsidR="000D545D" w:rsidP="00D86FE0" w:rsidRDefault="000D545D" w14:paraId="1384773F" w14:textId="77777777">
      <w:pPr>
        <w:jc w:val="both"/>
        <w:rPr>
          <w:rFonts w:ascii="Arial" w:hAnsi="Arial" w:eastAsia="Arial" w:cs="Arial"/>
          <w:sz w:val="21"/>
          <w:szCs w:val="21"/>
        </w:rPr>
      </w:pPr>
      <w:r w:rsidRPr="00B028ED">
        <w:rPr>
          <w:rFonts w:ascii="Arial" w:hAnsi="Arial" w:eastAsia="Arial" w:cs="Arial"/>
          <w:sz w:val="21"/>
          <w:szCs w:val="21"/>
        </w:rPr>
        <w:t>Es la Unidad Administrativa Especial Dirección de Impuestos y Aduanas Nacionales -DIAN- tiene como objeto coadyuvar a garantizar la seguridad fiscal del Estado colombiano y la protección del orden público económico nacional, mediante la administración y control al debido cumplimiento de las obligaciones tributarias, aduaneras, cambiarias, los derechos de explotación y gastos de administración sobre los juegos de suerte y azar explotados por entidades públicas del nivel nacional y la facilitación de las operaciones de comercio exterior en condiciones de equidad, transparencia y legalidad.</w:t>
      </w:r>
    </w:p>
    <w:p w:rsidRPr="00B028ED" w:rsidR="00BC40DD" w:rsidP="00D86FE0" w:rsidRDefault="00BC40DD" w14:paraId="4C4C7EF9" w14:textId="77777777">
      <w:pPr>
        <w:jc w:val="both"/>
        <w:rPr>
          <w:rFonts w:ascii="Arial" w:hAnsi="Arial" w:eastAsia="Arial" w:cs="Arial"/>
          <w:sz w:val="21"/>
          <w:szCs w:val="21"/>
        </w:rPr>
      </w:pPr>
    </w:p>
    <w:p w:rsidRPr="00B028ED" w:rsidR="00BC40DD" w:rsidP="00D86FE0" w:rsidRDefault="00BC40DD" w14:paraId="2DAFECED"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Fiducoldex</w:t>
      </w:r>
    </w:p>
    <w:p w:rsidRPr="00B028ED" w:rsidR="00BC40DD" w:rsidP="00D86FE0" w:rsidRDefault="00BC40DD" w14:paraId="7BB3B776" w14:textId="77777777">
      <w:pPr>
        <w:jc w:val="both"/>
        <w:rPr>
          <w:rFonts w:ascii="Arial" w:hAnsi="Arial" w:eastAsia="Arial" w:cs="Arial"/>
          <w:sz w:val="21"/>
          <w:szCs w:val="21"/>
        </w:rPr>
      </w:pPr>
      <w:r w:rsidRPr="00B028ED">
        <w:rPr>
          <w:rFonts w:ascii="Arial" w:hAnsi="Arial" w:eastAsia="Arial" w:cs="Arial"/>
          <w:sz w:val="21"/>
          <w:szCs w:val="21"/>
        </w:rPr>
        <w:t>Fiduciaria Colombiana de Comercio Exterior, S.A. Sociedad de servicios financieros de economía mixta indirecta del orden nacional, adscrita al Ministerio de Comercio Exterior, hoy Ministerio de Comercio, Industria y Turismo, y filial del Banco de Comercio Exterior BANCOLDEX; constituida mediante escritura pública número 1.497 de octubre 31 de 1.992, otorgada en la Notaría Cuarta de Cartagena (Bolívar), autorizada para funcionar mediante resolución número 4.535 de noviembre 3 de 1.992 expedida por la Superintendencia Bancaria.</w:t>
      </w:r>
    </w:p>
    <w:p w:rsidRPr="00B028ED" w:rsidR="00D86FE0" w:rsidP="00D86FE0" w:rsidRDefault="00D86FE0" w14:paraId="5345F0C1" w14:textId="77777777">
      <w:pPr>
        <w:jc w:val="both"/>
        <w:rPr>
          <w:rFonts w:ascii="Arial" w:hAnsi="Arial" w:eastAsia="Arial" w:cs="Arial"/>
          <w:sz w:val="21"/>
          <w:szCs w:val="21"/>
        </w:rPr>
      </w:pPr>
    </w:p>
    <w:p w:rsidRPr="00B028ED" w:rsidR="00BC40DD" w:rsidP="00D86FE0" w:rsidRDefault="00BC40DD" w14:paraId="192976B1"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Proexport Colombia</w:t>
      </w:r>
    </w:p>
    <w:p w:rsidRPr="00B028ED" w:rsidR="00BC40DD" w:rsidP="00D86FE0" w:rsidRDefault="00BC40DD" w14:paraId="331318E3" w14:textId="77777777">
      <w:pPr>
        <w:jc w:val="both"/>
        <w:rPr>
          <w:rFonts w:ascii="Arial" w:hAnsi="Arial" w:eastAsia="Arial" w:cs="Arial"/>
          <w:sz w:val="21"/>
          <w:szCs w:val="21"/>
        </w:rPr>
      </w:pPr>
      <w:r w:rsidRPr="00B028ED">
        <w:rPr>
          <w:rFonts w:ascii="Arial" w:hAnsi="Arial" w:eastAsia="Arial" w:cs="Arial"/>
          <w:sz w:val="21"/>
          <w:szCs w:val="21"/>
        </w:rPr>
        <w:t>Entidad encargada de la promoción comercial de las exportaciones no tradicionales colombianas. Brinda apoyo y asesoría integral a los empresarios nacionales, en sus actividades de mercadeo internacional, mediante servicios dirigidos a facilitar el diseño y ejecución de su estrategia exportadora, buscando la generación, desarrollo y cierre de oportunidades de negocios.</w:t>
      </w:r>
    </w:p>
    <w:p w:rsidRPr="00B028ED" w:rsidR="00BC40DD" w:rsidP="00D86FE0" w:rsidRDefault="00BC40DD" w14:paraId="7EAE93FA" w14:textId="77777777">
      <w:pPr>
        <w:jc w:val="both"/>
        <w:rPr>
          <w:rFonts w:ascii="Arial" w:hAnsi="Arial" w:eastAsia="Arial" w:cs="Arial"/>
          <w:sz w:val="21"/>
          <w:szCs w:val="21"/>
        </w:rPr>
      </w:pPr>
    </w:p>
    <w:p w:rsidRPr="00B028ED" w:rsidR="00BC40DD" w:rsidP="00D86FE0" w:rsidRDefault="00BC40DD" w14:paraId="018B5396" w14:textId="799FE4C0">
      <w:pPr>
        <w:jc w:val="both"/>
        <w:rPr>
          <w:rFonts w:ascii="Arial" w:hAnsi="Arial" w:eastAsia="Arial" w:cs="Arial"/>
          <w:i/>
          <w:iCs/>
          <w:sz w:val="21"/>
          <w:szCs w:val="21"/>
          <w:u w:val="single"/>
        </w:rPr>
      </w:pPr>
      <w:r w:rsidRPr="00B028ED">
        <w:rPr>
          <w:rFonts w:ascii="Arial" w:hAnsi="Arial" w:eastAsia="Arial" w:cs="Arial"/>
          <w:i/>
          <w:iCs/>
          <w:sz w:val="21"/>
          <w:szCs w:val="21"/>
          <w:u w:val="single"/>
        </w:rPr>
        <w:t>Superintendencia de Sociedades</w:t>
      </w:r>
    </w:p>
    <w:p w:rsidRPr="00B028ED" w:rsidR="00BC40DD" w:rsidP="00D86FE0" w:rsidRDefault="00BC40DD" w14:paraId="591244B5" w14:textId="481FA45D">
      <w:pPr>
        <w:jc w:val="both"/>
        <w:rPr>
          <w:rFonts w:ascii="Arial" w:hAnsi="Arial" w:eastAsia="Arial" w:cs="Arial"/>
          <w:sz w:val="21"/>
          <w:szCs w:val="21"/>
        </w:rPr>
      </w:pPr>
      <w:r w:rsidRPr="00B028ED">
        <w:rPr>
          <w:rFonts w:ascii="Arial" w:hAnsi="Arial" w:eastAsia="Arial" w:cs="Arial"/>
          <w:sz w:val="21"/>
          <w:szCs w:val="21"/>
        </w:rPr>
        <w:t>Organismo técnico, adscrito al Ministerio de Comercio, Industria y Turismo, con personería jurídica, autonomía administrativa y</w:t>
      </w:r>
      <w:r w:rsidRPr="00B028ED" w:rsidR="000D545D">
        <w:rPr>
          <w:rFonts w:ascii="Arial" w:hAnsi="Arial" w:eastAsia="Arial" w:cs="Arial"/>
          <w:sz w:val="21"/>
          <w:szCs w:val="21"/>
        </w:rPr>
        <w:t xml:space="preserve"> con</w:t>
      </w:r>
      <w:r w:rsidRPr="00B028ED">
        <w:rPr>
          <w:rFonts w:ascii="Arial" w:hAnsi="Arial" w:eastAsia="Arial" w:cs="Arial"/>
          <w:sz w:val="21"/>
          <w:szCs w:val="21"/>
        </w:rPr>
        <w:t xml:space="preserve"> patrimonio propio, mediante el cual el </w:t>
      </w:r>
      <w:r w:rsidRPr="00B028ED" w:rsidR="00B42A31">
        <w:rPr>
          <w:rFonts w:ascii="Arial" w:hAnsi="Arial" w:eastAsia="Arial" w:cs="Arial"/>
          <w:sz w:val="21"/>
          <w:szCs w:val="21"/>
        </w:rPr>
        <w:t>presidente</w:t>
      </w:r>
      <w:r w:rsidRPr="00B028ED">
        <w:rPr>
          <w:rFonts w:ascii="Arial" w:hAnsi="Arial" w:eastAsia="Arial" w:cs="Arial"/>
          <w:sz w:val="21"/>
          <w:szCs w:val="21"/>
        </w:rPr>
        <w:t xml:space="preserve"> de la República ejerce la inspección, vigilancia y control de las sociedades mercantiles, así como las facultades que le señala la Ley en relación con otras personas jurídicas o naturales.</w:t>
      </w:r>
    </w:p>
    <w:p w:rsidRPr="00B028ED" w:rsidR="00BC40DD" w:rsidP="00D86FE0" w:rsidRDefault="00BC40DD" w14:paraId="1C37F6ED" w14:textId="77777777">
      <w:pPr>
        <w:jc w:val="both"/>
        <w:rPr>
          <w:rFonts w:ascii="Arial" w:hAnsi="Arial" w:eastAsia="Arial" w:cs="Arial"/>
          <w:sz w:val="21"/>
          <w:szCs w:val="21"/>
        </w:rPr>
      </w:pPr>
    </w:p>
    <w:p w:rsidRPr="00B028ED" w:rsidR="00BC40DD" w:rsidP="00D86FE0" w:rsidRDefault="000D545D" w14:paraId="2A08AA68" w14:textId="0F3BEF8B">
      <w:pPr>
        <w:jc w:val="both"/>
        <w:rPr>
          <w:rFonts w:ascii="Arial" w:hAnsi="Arial" w:eastAsia="Arial" w:cs="Arial"/>
          <w:sz w:val="21"/>
          <w:szCs w:val="21"/>
        </w:rPr>
      </w:pPr>
      <w:r w:rsidRPr="00B028ED">
        <w:rPr>
          <w:rFonts w:ascii="Arial" w:hAnsi="Arial" w:eastAsia="Arial" w:cs="Arial"/>
          <w:sz w:val="21"/>
          <w:szCs w:val="21"/>
        </w:rPr>
        <w:t>De igual forma</w:t>
      </w:r>
      <w:r w:rsidRPr="00B028ED" w:rsidR="00BC40DD">
        <w:rPr>
          <w:rFonts w:ascii="Arial" w:hAnsi="Arial" w:eastAsia="Arial" w:cs="Arial"/>
          <w:sz w:val="21"/>
          <w:szCs w:val="21"/>
        </w:rPr>
        <w:t>, dentro del sector de la Salud tenemos las siguientes</w:t>
      </w:r>
      <w:r w:rsidRPr="00B028ED">
        <w:rPr>
          <w:rFonts w:ascii="Arial" w:hAnsi="Arial" w:eastAsia="Arial" w:cs="Arial"/>
          <w:sz w:val="21"/>
          <w:szCs w:val="21"/>
        </w:rPr>
        <w:t>:</w:t>
      </w:r>
    </w:p>
    <w:p w:rsidRPr="00B028ED" w:rsidR="00BC40DD" w:rsidP="00D86FE0" w:rsidRDefault="00BC40DD" w14:paraId="297E1620" w14:textId="77777777">
      <w:pPr>
        <w:jc w:val="both"/>
        <w:rPr>
          <w:rFonts w:ascii="Arial" w:hAnsi="Arial" w:eastAsia="Arial" w:cs="Arial"/>
          <w:sz w:val="21"/>
          <w:szCs w:val="21"/>
        </w:rPr>
      </w:pPr>
    </w:p>
    <w:p w:rsidRPr="00B028ED" w:rsidR="00BC40DD" w:rsidP="00D86FE0" w:rsidRDefault="00BC40DD" w14:paraId="652381E5"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ONAC – Organismo Nacional de Acreditación de Colombia</w:t>
      </w:r>
    </w:p>
    <w:p w:rsidRPr="00B028ED" w:rsidR="00BC40DD" w:rsidP="00D86FE0" w:rsidRDefault="00BC40DD" w14:paraId="5C0E714A" w14:textId="77777777">
      <w:pPr>
        <w:jc w:val="both"/>
        <w:rPr>
          <w:rFonts w:ascii="Arial" w:hAnsi="Arial" w:eastAsia="Arial" w:cs="Arial"/>
          <w:sz w:val="21"/>
          <w:szCs w:val="21"/>
        </w:rPr>
      </w:pPr>
      <w:r w:rsidRPr="00B028ED">
        <w:rPr>
          <w:rFonts w:ascii="Arial" w:hAnsi="Arial" w:eastAsia="Arial" w:cs="Arial"/>
          <w:sz w:val="21"/>
          <w:szCs w:val="21"/>
        </w:rPr>
        <w:t>Es una corporación que pertenece al Subsistema Nacional de la Calidad – SICAL-, de carácter privado, naturaleza mixta y sin ánimo de lucro, que se constituye y organiza bajo las leyes colombianas, dentro del marco del Código Civil Colombiano, las normas sobre ciencia y tecnología del Decreto Ley 393 de 1991 o las normas que lo modifiquen, sustituyan o complementen, el artículo 96 de la Ley 489 de 1998 y las normas técnicas internacionales aplicables.</w:t>
      </w:r>
    </w:p>
    <w:p w:rsidRPr="00B028ED" w:rsidR="00BC40DD" w:rsidP="00D86FE0" w:rsidRDefault="00BC40DD" w14:paraId="311D0A16" w14:textId="77777777">
      <w:pPr>
        <w:jc w:val="both"/>
        <w:rPr>
          <w:rFonts w:ascii="Arial" w:hAnsi="Arial" w:eastAsia="Arial" w:cs="Arial"/>
          <w:sz w:val="21"/>
          <w:szCs w:val="21"/>
        </w:rPr>
      </w:pPr>
    </w:p>
    <w:p w:rsidRPr="00B028ED" w:rsidR="00BC40DD" w:rsidP="00D86FE0" w:rsidRDefault="00BC40DD" w14:paraId="4218BE8A" w14:textId="77777777">
      <w:pPr>
        <w:jc w:val="both"/>
        <w:rPr>
          <w:rFonts w:ascii="Arial" w:hAnsi="Arial" w:eastAsia="Arial" w:cs="Arial"/>
          <w:sz w:val="21"/>
          <w:szCs w:val="21"/>
        </w:rPr>
      </w:pPr>
      <w:r w:rsidRPr="00B028ED">
        <w:rPr>
          <w:rFonts w:ascii="Arial" w:hAnsi="Arial" w:eastAsia="Arial" w:cs="Arial"/>
          <w:sz w:val="21"/>
          <w:szCs w:val="21"/>
        </w:rPr>
        <w:t>El ONAC tiene como objeto principal proveer los servicios de acreditación a los organismos de evaluación de la conformidad para acreditar su competencia, ejercer como autoridad de monitoreo en buenas prácticas de laboratorio de la Organización para la Cooperación y el Desarrollo Económico (OCDE) y desempeñar las funciones de Organismo Nacional de Acreditación de Colombia</w:t>
      </w:r>
    </w:p>
    <w:p w:rsidRPr="00B028ED" w:rsidR="00BC40DD" w:rsidP="00D86FE0" w:rsidRDefault="00BC40DD" w14:paraId="4A529816" w14:textId="77777777">
      <w:pPr>
        <w:jc w:val="both"/>
        <w:rPr>
          <w:rFonts w:ascii="Arial" w:hAnsi="Arial" w:eastAsia="Arial" w:cs="Arial"/>
          <w:sz w:val="21"/>
          <w:szCs w:val="21"/>
        </w:rPr>
      </w:pPr>
    </w:p>
    <w:p w:rsidRPr="00B028ED" w:rsidR="00BC40DD" w:rsidP="00D86FE0" w:rsidRDefault="00BC40DD" w14:paraId="5DA169AB"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INVIMA – Instituto Nacional de Vigilancia de Medicamentos y Alimentos</w:t>
      </w:r>
    </w:p>
    <w:p w:rsidRPr="00B028ED" w:rsidR="00BC40DD" w:rsidP="00D86FE0" w:rsidRDefault="00BC40DD" w14:paraId="362DD4D6" w14:textId="77777777">
      <w:pPr>
        <w:jc w:val="both"/>
        <w:rPr>
          <w:rFonts w:ascii="Arial" w:hAnsi="Arial" w:eastAsia="Arial" w:cs="Arial"/>
          <w:sz w:val="21"/>
          <w:szCs w:val="21"/>
        </w:rPr>
      </w:pPr>
      <w:r w:rsidRPr="00B028ED">
        <w:rPr>
          <w:rFonts w:ascii="Arial" w:hAnsi="Arial" w:eastAsia="Arial" w:cs="Arial"/>
          <w:sz w:val="21"/>
          <w:szCs w:val="21"/>
        </w:rPr>
        <w:t>Es la Agencia Regulatoria Nacional, una entidad de vigilancia y control de carácter técnico científico, que trabaja para la protección de la salud individual y colectiva de los colombianos, mediante la aplicación de las normas sanitarias asociadas al consumo y uso de alimentos, medicamentos, dispositivos médicos y otros productos objeto de vigilancia sanitaria.</w:t>
      </w:r>
    </w:p>
    <w:p w:rsidRPr="00B028ED" w:rsidR="00BC40DD" w:rsidP="00D86FE0" w:rsidRDefault="00BC40DD" w14:paraId="174AF8CD" w14:textId="77777777">
      <w:pPr>
        <w:jc w:val="both"/>
        <w:rPr>
          <w:rFonts w:ascii="Arial" w:hAnsi="Arial" w:eastAsia="Arial" w:cs="Arial"/>
          <w:sz w:val="21"/>
          <w:szCs w:val="21"/>
          <w:u w:val="single"/>
        </w:rPr>
      </w:pPr>
    </w:p>
    <w:p w:rsidRPr="00B028ED" w:rsidR="00BC40DD" w:rsidP="00D86FE0" w:rsidRDefault="00BC40DD" w14:paraId="323788E5"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El Instituto Nacional de Salud, INS.</w:t>
      </w:r>
    </w:p>
    <w:p w:rsidRPr="00B028ED" w:rsidR="00BC40DD" w:rsidP="00D86FE0" w:rsidRDefault="00BC40DD" w14:paraId="5F49DA73" w14:textId="77777777">
      <w:pPr>
        <w:jc w:val="both"/>
        <w:rPr>
          <w:rFonts w:ascii="Arial" w:hAnsi="Arial" w:eastAsia="Arial" w:cs="Arial"/>
          <w:sz w:val="21"/>
          <w:szCs w:val="21"/>
        </w:rPr>
      </w:pPr>
      <w:r w:rsidRPr="00B028ED">
        <w:rPr>
          <w:rFonts w:ascii="Arial" w:hAnsi="Arial" w:eastAsia="Arial" w:cs="Arial"/>
          <w:sz w:val="21"/>
          <w:szCs w:val="21"/>
        </w:rPr>
        <w:t>El INS opera y fortalece el Sistema de Vigilancia y Análisis del Riesgo en Salud Pública, a través de la generación de información epidemiológica, protocolos, lineamientos, conceptos toxicológicos, evaluación de riesgo, inocuidad alimentaria; actividades de capacitación y formación del recurso humano en Salud Pública de manera oportuna, pertinente, eficaz y clara que promueve la capacidad técnica y operativa de los usuarios del Sistema Nacional de Vigilancia.</w:t>
      </w:r>
    </w:p>
    <w:p w:rsidRPr="00B028ED" w:rsidR="00BC40DD" w:rsidP="00D86FE0" w:rsidRDefault="00BC40DD" w14:paraId="2F4E54BB" w14:textId="77777777">
      <w:pPr>
        <w:jc w:val="both"/>
        <w:rPr>
          <w:rFonts w:ascii="Arial" w:hAnsi="Arial" w:eastAsia="Arial" w:cs="Arial"/>
          <w:sz w:val="21"/>
          <w:szCs w:val="21"/>
          <w:u w:val="single"/>
        </w:rPr>
      </w:pPr>
    </w:p>
    <w:p w:rsidRPr="00B028ED" w:rsidR="00BC40DD" w:rsidP="00D86FE0" w:rsidRDefault="00BC40DD" w14:paraId="6B155370"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 xml:space="preserve">Red Nacional de Laboratorios. </w:t>
      </w:r>
    </w:p>
    <w:p w:rsidRPr="00B028ED" w:rsidR="00BC40DD" w:rsidP="00D86FE0" w:rsidRDefault="00BC40DD" w14:paraId="1B0CE52C" w14:textId="0961623E">
      <w:pPr>
        <w:jc w:val="both"/>
        <w:rPr>
          <w:rFonts w:ascii="Arial" w:hAnsi="Arial" w:eastAsia="Arial" w:cs="Arial"/>
          <w:sz w:val="21"/>
          <w:szCs w:val="21"/>
        </w:rPr>
      </w:pPr>
      <w:r w:rsidRPr="00B028ED">
        <w:rPr>
          <w:rFonts w:ascii="Arial" w:hAnsi="Arial" w:eastAsia="Arial" w:cs="Arial"/>
          <w:sz w:val="21"/>
          <w:szCs w:val="21"/>
        </w:rPr>
        <w:t>Sistema técnico gerencial cuyo objeto es la integración funcional de laboratorios nacionales de referencia, laboratorios de salud pública, laboratorios clínicos, otros laboratorios, y servicios de toma de muestras y microscopia, para el desarrollo de actividades de vigilancia en salud pública, prestación de servicios, gestión de la calidad e investigación.</w:t>
      </w:r>
    </w:p>
    <w:p w:rsidRPr="00B028ED" w:rsidR="000D545D" w:rsidP="00D86FE0" w:rsidRDefault="000D545D" w14:paraId="7802A795" w14:textId="18E3EEC6">
      <w:pPr>
        <w:jc w:val="both"/>
        <w:rPr>
          <w:rFonts w:ascii="Arial" w:hAnsi="Arial" w:eastAsia="Arial" w:cs="Arial"/>
          <w:sz w:val="21"/>
          <w:szCs w:val="21"/>
        </w:rPr>
      </w:pPr>
    </w:p>
    <w:p w:rsidRPr="00B028ED" w:rsidR="000D545D" w:rsidP="00D86FE0" w:rsidRDefault="000D545D" w14:paraId="13304BA2"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 xml:space="preserve">Laboratorios nacionales de referencia. </w:t>
      </w:r>
    </w:p>
    <w:p w:rsidRPr="00B028ED" w:rsidR="000D545D" w:rsidP="00D86FE0" w:rsidRDefault="000D545D" w14:paraId="7B4BEE47" w14:textId="617FD023">
      <w:pPr>
        <w:jc w:val="both"/>
        <w:rPr>
          <w:rFonts w:ascii="Arial" w:hAnsi="Arial" w:eastAsia="Arial" w:cs="Arial"/>
          <w:sz w:val="21"/>
          <w:szCs w:val="21"/>
        </w:rPr>
      </w:pPr>
      <w:r w:rsidRPr="00B028ED">
        <w:rPr>
          <w:rFonts w:ascii="Arial" w:hAnsi="Arial" w:eastAsia="Arial" w:cs="Arial"/>
          <w:sz w:val="21"/>
          <w:szCs w:val="21"/>
        </w:rPr>
        <w:t>Son laboratorios públicos del nivel nacional dentro y fuera del sector salud que cuentan con recursos técnicos y científicos, procesos estructurados, desarrollos tecnológicos y competencias para cumplir funciones esenciales en materia de laboratorio de salud pública y ejercer como la máxima autoridad nacional técnica científica en las áreas de su competencia.</w:t>
      </w:r>
    </w:p>
    <w:p w:rsidRPr="00B028ED" w:rsidR="00BC40DD" w:rsidP="00D86FE0" w:rsidRDefault="00BC40DD" w14:paraId="58C09243" w14:textId="77777777">
      <w:pPr>
        <w:jc w:val="both"/>
        <w:rPr>
          <w:rFonts w:ascii="Arial" w:hAnsi="Arial" w:eastAsia="Arial" w:cs="Arial"/>
          <w:sz w:val="21"/>
          <w:szCs w:val="21"/>
        </w:rPr>
      </w:pPr>
    </w:p>
    <w:p w:rsidRPr="00B028ED" w:rsidR="00BC40DD" w:rsidP="00D86FE0" w:rsidRDefault="00BC40DD" w14:paraId="6EB806E7"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 xml:space="preserve">Laboratorios de salud pública. </w:t>
      </w:r>
    </w:p>
    <w:p w:rsidRPr="00B028ED" w:rsidR="00BC40DD" w:rsidP="00D86FE0" w:rsidRDefault="00BC40DD" w14:paraId="502D04E9" w14:textId="77777777">
      <w:pPr>
        <w:jc w:val="both"/>
        <w:rPr>
          <w:rFonts w:ascii="Arial" w:hAnsi="Arial" w:eastAsia="Arial" w:cs="Arial"/>
          <w:sz w:val="21"/>
          <w:szCs w:val="21"/>
        </w:rPr>
      </w:pPr>
      <w:r w:rsidRPr="00B028ED">
        <w:rPr>
          <w:rFonts w:ascii="Arial" w:hAnsi="Arial" w:eastAsia="Arial" w:cs="Arial"/>
          <w:sz w:val="21"/>
          <w:szCs w:val="21"/>
        </w:rPr>
        <w:t>Entidades públicas del orden departamental o distrital, encargadas del desarrollo de acciones técnico-administrativas realizadas en atención a las personas y el medio ambiente con propósitos de vigilancia en salud pública, vigilancia y control sanitario, gestión de la calidad e investigación.</w:t>
      </w:r>
    </w:p>
    <w:p w:rsidRPr="00B028ED" w:rsidR="00BC40DD" w:rsidP="00D86FE0" w:rsidRDefault="00BC40DD" w14:paraId="6A223569" w14:textId="77777777">
      <w:pPr>
        <w:jc w:val="both"/>
        <w:rPr>
          <w:rFonts w:ascii="Arial" w:hAnsi="Arial" w:eastAsia="Arial" w:cs="Arial"/>
          <w:sz w:val="21"/>
          <w:szCs w:val="21"/>
          <w:u w:val="single"/>
        </w:rPr>
      </w:pPr>
    </w:p>
    <w:p w:rsidRPr="00B028ED" w:rsidR="00BC40DD" w:rsidP="00D86FE0" w:rsidRDefault="00BC40DD" w14:paraId="086C98CA" w14:textId="77777777">
      <w:pPr>
        <w:jc w:val="both"/>
        <w:rPr>
          <w:rFonts w:ascii="Arial" w:hAnsi="Arial" w:eastAsia="Arial" w:cs="Arial"/>
          <w:sz w:val="21"/>
          <w:szCs w:val="21"/>
        </w:rPr>
      </w:pPr>
      <w:r w:rsidRPr="00B028ED">
        <w:rPr>
          <w:rFonts w:ascii="Arial" w:hAnsi="Arial" w:eastAsia="Arial" w:cs="Arial"/>
          <w:b/>
          <w:bCs/>
          <w:sz w:val="21"/>
          <w:szCs w:val="21"/>
        </w:rPr>
        <w:t>Gremios y asociaciones que participan en el sector:</w:t>
      </w:r>
      <w:r w:rsidRPr="00B028ED">
        <w:rPr>
          <w:rFonts w:ascii="Arial" w:hAnsi="Arial" w:eastAsia="Arial" w:cs="Arial"/>
          <w:sz w:val="21"/>
          <w:szCs w:val="21"/>
        </w:rPr>
        <w:t xml:space="preserve"> Dentro del sector encontramos los siguientes gremios o asociaciones:</w:t>
      </w:r>
    </w:p>
    <w:p w:rsidRPr="00B028ED" w:rsidR="00BC40DD" w:rsidP="00D86FE0" w:rsidRDefault="00BC40DD" w14:paraId="492E45C3" w14:textId="77777777">
      <w:pPr>
        <w:jc w:val="both"/>
        <w:rPr>
          <w:rFonts w:ascii="Arial" w:hAnsi="Arial" w:eastAsia="Arial" w:cs="Arial"/>
          <w:sz w:val="21"/>
          <w:szCs w:val="21"/>
        </w:rPr>
      </w:pPr>
    </w:p>
    <w:p w:rsidRPr="00B028ED" w:rsidR="00BC40DD" w:rsidP="00D86FE0" w:rsidRDefault="00BC40DD" w14:paraId="0F373584" w14:textId="4B5B934B">
      <w:pPr>
        <w:jc w:val="both"/>
        <w:rPr>
          <w:rFonts w:ascii="Arial" w:hAnsi="Arial" w:eastAsia="Arial" w:cs="Arial"/>
          <w:i/>
          <w:iCs/>
          <w:sz w:val="21"/>
          <w:szCs w:val="21"/>
          <w:u w:val="single"/>
        </w:rPr>
      </w:pPr>
      <w:r w:rsidRPr="00B028ED">
        <w:rPr>
          <w:rFonts w:ascii="Arial" w:hAnsi="Arial" w:eastAsia="Arial" w:cs="Arial"/>
          <w:i/>
          <w:iCs/>
          <w:sz w:val="21"/>
          <w:szCs w:val="21"/>
          <w:u w:val="single"/>
        </w:rPr>
        <w:t xml:space="preserve">AFIDRO – Asociación de laboratorios farmacéuticos de investigación y desarrollo </w:t>
      </w:r>
    </w:p>
    <w:p w:rsidRPr="00B028ED" w:rsidR="00BC40DD" w:rsidP="00D86FE0" w:rsidRDefault="00BC40DD" w14:paraId="540CBD1A" w14:textId="77777777">
      <w:pPr>
        <w:jc w:val="both"/>
        <w:rPr>
          <w:rFonts w:ascii="Arial" w:hAnsi="Arial" w:eastAsia="Arial" w:cs="Arial"/>
          <w:sz w:val="21"/>
          <w:szCs w:val="21"/>
        </w:rPr>
      </w:pPr>
      <w:r w:rsidRPr="00B028ED">
        <w:rPr>
          <w:rFonts w:ascii="Arial" w:hAnsi="Arial" w:eastAsia="Arial" w:cs="Arial"/>
          <w:sz w:val="21"/>
          <w:szCs w:val="21"/>
        </w:rPr>
        <w:t>Agrupa veintiocho (28) compañías farmacéuticas internacionales, reconocidas por su trayectoria y capacidad de innovación. Aliados naturales del sistema de salud, contribuyendo a la toma de decisiones en favor del acceso sostenible de los pacientes a la provisión de las soluciones terapéuticas de la más alta calidad y seguridad y contribuyen a la discusión sobre los cambios regulatorios, institucionales y de política pública que requiere el país, para contar con un entorno competitivo, que promueve y reconoce la innovación, y atrae nuevos proyectos de investigación y desarrollo en salud.</w:t>
      </w:r>
    </w:p>
    <w:p w:rsidRPr="00B028ED" w:rsidR="00BC40DD" w:rsidP="00D86FE0" w:rsidRDefault="00BC40DD" w14:paraId="07BF7879" w14:textId="77777777">
      <w:pPr>
        <w:jc w:val="both"/>
        <w:rPr>
          <w:rFonts w:ascii="Arial" w:hAnsi="Arial" w:eastAsia="Arial" w:cs="Arial"/>
          <w:sz w:val="21"/>
          <w:szCs w:val="21"/>
        </w:rPr>
      </w:pPr>
    </w:p>
    <w:p w:rsidRPr="00B028ED" w:rsidR="00BC40DD" w:rsidP="00D86FE0" w:rsidRDefault="00BC40DD" w14:paraId="577D6E42"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ASINFAR – La Asociación de Industrias Farmacéuticas en Colombia</w:t>
      </w:r>
    </w:p>
    <w:p w:rsidRPr="00B028ED" w:rsidR="00BC40DD" w:rsidP="00D86FE0" w:rsidRDefault="00BC40DD" w14:paraId="2EF1F8D3" w14:textId="7F60C420">
      <w:pPr>
        <w:jc w:val="both"/>
        <w:rPr>
          <w:rFonts w:ascii="Arial" w:hAnsi="Arial" w:eastAsia="Arial" w:cs="Arial"/>
          <w:sz w:val="21"/>
          <w:szCs w:val="21"/>
        </w:rPr>
      </w:pPr>
      <w:r w:rsidRPr="00B028ED">
        <w:rPr>
          <w:rFonts w:ascii="Arial" w:hAnsi="Arial" w:eastAsia="Arial" w:cs="Arial"/>
          <w:sz w:val="21"/>
          <w:szCs w:val="21"/>
        </w:rPr>
        <w:t>Reúne entre sus afiliados a las más importantes compañías de capital nacional y extranjero que cuentan con plantas de producción de medicamentos en Colombia y en la región LATAM. Nuestra Asociación reconoce el valor esencial de la producción local y regional de medicamentos para el logro de los objetivos de la salud, aumentar el acceso a los medicamentos en función de las necesidades sanitarias del país y de la región latinoamericana, fortalecer las capacidades en una industria generadora de bienestar y desarrollo social, económico y tecnológico.</w:t>
      </w:r>
    </w:p>
    <w:p w:rsidRPr="00B028ED" w:rsidR="000D545D" w:rsidP="00D86FE0" w:rsidRDefault="000D545D" w14:paraId="3E50F1AB" w14:textId="4253F248">
      <w:pPr>
        <w:jc w:val="both"/>
        <w:rPr>
          <w:rFonts w:ascii="Arial" w:hAnsi="Arial" w:eastAsia="Arial" w:cs="Arial"/>
          <w:sz w:val="21"/>
          <w:szCs w:val="21"/>
        </w:rPr>
      </w:pPr>
    </w:p>
    <w:p w:rsidRPr="00B028ED" w:rsidR="000D545D" w:rsidP="00D86FE0" w:rsidRDefault="000D545D" w14:paraId="1B5AA4B4"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FENALCO</w:t>
      </w:r>
    </w:p>
    <w:p w:rsidRPr="00B028ED" w:rsidR="000D545D" w:rsidP="00D86FE0" w:rsidRDefault="000D545D" w14:paraId="1E022EF3" w14:textId="77777777">
      <w:pPr>
        <w:jc w:val="both"/>
        <w:rPr>
          <w:rFonts w:ascii="Arial" w:hAnsi="Arial" w:eastAsia="Arial" w:cs="Arial"/>
          <w:sz w:val="21"/>
          <w:szCs w:val="21"/>
        </w:rPr>
      </w:pPr>
      <w:r w:rsidRPr="00B028ED">
        <w:rPr>
          <w:rFonts w:ascii="Arial" w:hAnsi="Arial" w:eastAsia="Arial" w:cs="Arial"/>
          <w:sz w:val="21"/>
          <w:szCs w:val="21"/>
        </w:rPr>
        <w:t xml:space="preserve">Representa gremialmente a los comerciantes y empresarios colombianos en la defensa de la democracia y la libre empresa para generar mejores condiciones de competitividad, productividad </w:t>
      </w:r>
      <w:r w:rsidRPr="00B028ED">
        <w:rPr>
          <w:rFonts w:ascii="Arial" w:hAnsi="Arial" w:eastAsia="Arial" w:cs="Arial"/>
          <w:sz w:val="21"/>
          <w:szCs w:val="21"/>
        </w:rPr>
        <w:t>y sostenibilidad, de manera transversal y especializada en sectores, acordes con las tendencias económicas, tecnológicas y de mercado.</w:t>
      </w:r>
    </w:p>
    <w:p w:rsidRPr="00B028ED" w:rsidR="000D545D" w:rsidP="00D86FE0" w:rsidRDefault="000D545D" w14:paraId="298280BC" w14:textId="0E917834">
      <w:pPr>
        <w:jc w:val="both"/>
        <w:rPr>
          <w:rFonts w:ascii="Arial" w:hAnsi="Arial" w:eastAsia="Arial" w:cs="Arial"/>
          <w:sz w:val="21"/>
          <w:szCs w:val="21"/>
        </w:rPr>
      </w:pPr>
    </w:p>
    <w:p w:rsidRPr="00B028ED" w:rsidR="000D545D" w:rsidP="00D86FE0" w:rsidRDefault="000D545D" w14:paraId="28194066"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ANM – Academia Nacional de Medicina</w:t>
      </w:r>
    </w:p>
    <w:p w:rsidRPr="00B028ED" w:rsidR="000D545D" w:rsidP="00D86FE0" w:rsidRDefault="000D545D" w14:paraId="00CEC525" w14:textId="3E1BCB85">
      <w:pPr>
        <w:jc w:val="both"/>
        <w:rPr>
          <w:rFonts w:ascii="Arial" w:hAnsi="Arial" w:eastAsia="Arial" w:cs="Arial"/>
          <w:sz w:val="21"/>
          <w:szCs w:val="21"/>
        </w:rPr>
      </w:pPr>
      <w:r w:rsidRPr="00B028ED">
        <w:rPr>
          <w:rFonts w:ascii="Arial" w:hAnsi="Arial" w:eastAsia="Arial" w:cs="Arial"/>
          <w:sz w:val="21"/>
          <w:szCs w:val="21"/>
        </w:rPr>
        <w:t>Institución científica de duración indefinida, sin ánimo de lucro, de derecho privado, cuya misión es contribuir al estudio y progreso de la medicina, de la educación médica y la investigación, auspiciar el adelanto de las ciencias afines y las tecnologías complementarias, y propender por la ética, el buen ejercicio profesional y el desarrollo humanístico del médico, así como también cumplir con la finalidad de fortalecer la unidad del cuerpo médico, dentro del ejercicio libre de la profesión. La Academia es un es un organismo consultor y asesor del Gobierno para todos los asuntos relacionados con la salud pública del pueblo colombiano y la educación médica.</w:t>
      </w:r>
    </w:p>
    <w:p w:rsidRPr="00B028ED" w:rsidR="00BC40DD" w:rsidP="00D86FE0" w:rsidRDefault="00BC40DD" w14:paraId="13E38901" w14:textId="77777777">
      <w:pPr>
        <w:jc w:val="both"/>
        <w:rPr>
          <w:rFonts w:ascii="Arial" w:hAnsi="Arial" w:eastAsia="Arial" w:cs="Arial"/>
          <w:sz w:val="21"/>
          <w:szCs w:val="21"/>
        </w:rPr>
      </w:pPr>
    </w:p>
    <w:p w:rsidRPr="00B028ED" w:rsidR="00BC40DD" w:rsidP="00D86FE0" w:rsidRDefault="000D545D" w14:paraId="1B0BA762" w14:textId="6A0AC4D6">
      <w:pPr>
        <w:jc w:val="both"/>
        <w:rPr>
          <w:rFonts w:ascii="Arial" w:hAnsi="Arial" w:eastAsia="Arial" w:cs="Arial"/>
          <w:i/>
          <w:iCs/>
          <w:sz w:val="21"/>
          <w:szCs w:val="21"/>
          <w:u w:val="single"/>
        </w:rPr>
      </w:pPr>
      <w:r w:rsidRPr="00B028ED">
        <w:rPr>
          <w:rFonts w:ascii="Arial" w:hAnsi="Arial" w:eastAsia="Arial" w:cs="Arial"/>
          <w:i/>
          <w:iCs/>
          <w:sz w:val="21"/>
          <w:szCs w:val="21"/>
          <w:u w:val="single"/>
        </w:rPr>
        <w:t>Cámara</w:t>
      </w:r>
      <w:r w:rsidRPr="00B028ED" w:rsidR="00BC40DD">
        <w:rPr>
          <w:rFonts w:ascii="Arial" w:hAnsi="Arial" w:eastAsia="Arial" w:cs="Arial"/>
          <w:i/>
          <w:iCs/>
          <w:sz w:val="21"/>
          <w:szCs w:val="21"/>
          <w:u w:val="single"/>
        </w:rPr>
        <w:t xml:space="preserve"> sectorial de Dispositivos Médicos e Insumos</w:t>
      </w:r>
    </w:p>
    <w:p w:rsidRPr="00B028ED" w:rsidR="00BC40DD" w:rsidP="00D86FE0" w:rsidRDefault="00BC40DD" w14:paraId="76FD2637" w14:textId="77777777">
      <w:pPr>
        <w:jc w:val="both"/>
        <w:rPr>
          <w:rFonts w:ascii="Arial" w:hAnsi="Arial" w:eastAsia="Arial" w:cs="Arial"/>
          <w:sz w:val="21"/>
          <w:szCs w:val="21"/>
        </w:rPr>
      </w:pPr>
      <w:r w:rsidRPr="00B028ED">
        <w:rPr>
          <w:rFonts w:ascii="Arial" w:hAnsi="Arial" w:eastAsia="Arial" w:cs="Arial"/>
          <w:sz w:val="21"/>
          <w:szCs w:val="21"/>
        </w:rPr>
        <w:t>Tiene como objetivo principal buscar la estabilidad y desarrollo del sector por medio del trabajo conjunto con el gobierno, autoridades de control, asociaciones y organismos internacionales. Está compuesta por empresas nacionales, importadores y distribuidores de dispositivos médicos e insumos para la salud, equipos biomédicos y reactivos de diagnóstico.</w:t>
      </w:r>
    </w:p>
    <w:p w:rsidRPr="00B028ED" w:rsidR="00BC40DD" w:rsidP="00D86FE0" w:rsidRDefault="00BC40DD" w14:paraId="75FC2FAE" w14:textId="77777777">
      <w:pPr>
        <w:jc w:val="both"/>
        <w:rPr>
          <w:rFonts w:ascii="Arial" w:hAnsi="Arial" w:eastAsia="Arial" w:cs="Arial"/>
          <w:sz w:val="21"/>
          <w:szCs w:val="21"/>
        </w:rPr>
      </w:pPr>
    </w:p>
    <w:p w:rsidRPr="00B028ED" w:rsidR="00BC40DD" w:rsidP="00D86FE0" w:rsidRDefault="00BC40DD" w14:paraId="66BE1554" w14:textId="77777777">
      <w:pPr>
        <w:jc w:val="both"/>
        <w:rPr>
          <w:rFonts w:ascii="Arial" w:hAnsi="Arial" w:eastAsia="Arial" w:cs="Arial"/>
          <w:i/>
          <w:iCs/>
          <w:sz w:val="21"/>
          <w:szCs w:val="21"/>
          <w:u w:val="single"/>
        </w:rPr>
      </w:pPr>
      <w:proofErr w:type="spellStart"/>
      <w:r w:rsidRPr="00B028ED">
        <w:rPr>
          <w:rFonts w:ascii="Arial" w:hAnsi="Arial" w:eastAsia="Arial" w:cs="Arial"/>
          <w:i/>
          <w:iCs/>
          <w:sz w:val="21"/>
          <w:szCs w:val="21"/>
          <w:u w:val="single"/>
        </w:rPr>
        <w:t>Ascofame</w:t>
      </w:r>
      <w:proofErr w:type="spellEnd"/>
      <w:r w:rsidRPr="00B028ED">
        <w:rPr>
          <w:rFonts w:ascii="Arial" w:hAnsi="Arial" w:eastAsia="Arial" w:cs="Arial"/>
          <w:i/>
          <w:iCs/>
          <w:sz w:val="21"/>
          <w:szCs w:val="21"/>
          <w:u w:val="single"/>
        </w:rPr>
        <w:t xml:space="preserve"> - Asociación Colombiana de Facultades de Medicina</w:t>
      </w:r>
    </w:p>
    <w:p w:rsidRPr="00B028ED" w:rsidR="00BC40DD" w:rsidP="00D86FE0" w:rsidRDefault="00BC40DD" w14:paraId="67DF88E6" w14:textId="77777777">
      <w:pPr>
        <w:jc w:val="both"/>
        <w:rPr>
          <w:rFonts w:ascii="Arial" w:hAnsi="Arial" w:eastAsia="Arial" w:cs="Arial"/>
          <w:sz w:val="21"/>
          <w:szCs w:val="21"/>
        </w:rPr>
      </w:pPr>
      <w:r w:rsidRPr="00B028ED">
        <w:rPr>
          <w:rFonts w:ascii="Arial" w:hAnsi="Arial" w:eastAsia="Arial" w:cs="Arial"/>
          <w:sz w:val="21"/>
          <w:szCs w:val="21"/>
        </w:rPr>
        <w:t>Asesora, coordina y promueve el intercambio y la acción académica, científica e investigativa entre las Facultades de Medicina y las Instituciones de Salud, estableciendo canales de articulación con entidades gubernamentales, privadas, nacionales e internacionales, sobre la integración de la ciencia con miras a dar respuesta a los problemas de salud del país, por medio del fortalecimiento de la calidad de la Educación Médica.</w:t>
      </w:r>
    </w:p>
    <w:p w:rsidRPr="00B028ED" w:rsidR="00BC40DD" w:rsidP="00D86FE0" w:rsidRDefault="00BC40DD" w14:paraId="4582C7CA" w14:textId="77777777">
      <w:pPr>
        <w:jc w:val="both"/>
        <w:rPr>
          <w:rFonts w:ascii="Arial" w:hAnsi="Arial" w:eastAsia="Arial" w:cs="Arial"/>
          <w:sz w:val="21"/>
          <w:szCs w:val="21"/>
        </w:rPr>
      </w:pPr>
    </w:p>
    <w:p w:rsidRPr="00B028ED" w:rsidR="00BC40DD" w:rsidP="00D86FE0" w:rsidRDefault="00BC40DD" w14:paraId="4537601B" w14:textId="77777777">
      <w:pPr>
        <w:jc w:val="both"/>
        <w:rPr>
          <w:rFonts w:ascii="Arial" w:hAnsi="Arial" w:eastAsia="Arial" w:cs="Arial"/>
          <w:i/>
          <w:iCs/>
          <w:sz w:val="21"/>
          <w:szCs w:val="21"/>
          <w:u w:val="single"/>
        </w:rPr>
      </w:pPr>
      <w:proofErr w:type="spellStart"/>
      <w:r w:rsidRPr="00B028ED">
        <w:rPr>
          <w:rFonts w:ascii="Arial" w:hAnsi="Arial" w:eastAsia="Arial" w:cs="Arial"/>
          <w:i/>
          <w:iCs/>
          <w:sz w:val="21"/>
          <w:szCs w:val="21"/>
          <w:u w:val="single"/>
        </w:rPr>
        <w:t>Gestarsalud</w:t>
      </w:r>
      <w:proofErr w:type="spellEnd"/>
      <w:r w:rsidRPr="00B028ED">
        <w:rPr>
          <w:rFonts w:ascii="Arial" w:hAnsi="Arial" w:eastAsia="Arial" w:cs="Arial"/>
          <w:i/>
          <w:iCs/>
          <w:sz w:val="21"/>
          <w:szCs w:val="21"/>
          <w:u w:val="single"/>
        </w:rPr>
        <w:t xml:space="preserve"> – Asociación de Empresas Gestoras del Aseguramiento en Salud de Colombia </w:t>
      </w:r>
    </w:p>
    <w:p w:rsidRPr="00B028ED" w:rsidR="00BC40DD" w:rsidP="00D86FE0" w:rsidRDefault="00BC40DD" w14:paraId="4E283163" w14:textId="77777777">
      <w:pPr>
        <w:jc w:val="both"/>
        <w:rPr>
          <w:rFonts w:ascii="Arial" w:hAnsi="Arial" w:eastAsia="Arial" w:cs="Arial"/>
          <w:sz w:val="21"/>
          <w:szCs w:val="21"/>
        </w:rPr>
      </w:pPr>
      <w:r w:rsidRPr="00B028ED">
        <w:rPr>
          <w:rFonts w:ascii="Arial" w:hAnsi="Arial" w:eastAsia="Arial" w:cs="Arial"/>
          <w:sz w:val="21"/>
          <w:szCs w:val="21"/>
        </w:rPr>
        <w:t>Este gremio, desde el sector sanitario y solidario promueve un derecho a la salud igualitario, oportuno y suficiente para todos los colombianos.</w:t>
      </w:r>
    </w:p>
    <w:p w:rsidRPr="00B028ED" w:rsidR="00BC40DD" w:rsidP="00D86FE0" w:rsidRDefault="00BC40DD" w14:paraId="76FB8B7D" w14:textId="77777777">
      <w:pPr>
        <w:jc w:val="both"/>
        <w:rPr>
          <w:rFonts w:ascii="Arial" w:hAnsi="Arial" w:eastAsia="Arial" w:cs="Arial"/>
          <w:sz w:val="21"/>
          <w:szCs w:val="21"/>
        </w:rPr>
      </w:pPr>
    </w:p>
    <w:p w:rsidRPr="00B028ED" w:rsidR="00BC40DD" w:rsidP="00D86FE0" w:rsidRDefault="00BC40DD" w14:paraId="2B232329"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ACEMI – Asociación Colombiana de Empresas de Medicina Integral</w:t>
      </w:r>
    </w:p>
    <w:p w:rsidRPr="00B028ED" w:rsidR="00BC40DD" w:rsidP="00D86FE0" w:rsidRDefault="00BC40DD" w14:paraId="2ED4C31C" w14:textId="77777777">
      <w:pPr>
        <w:jc w:val="both"/>
        <w:rPr>
          <w:rFonts w:ascii="Arial" w:hAnsi="Arial" w:eastAsia="Arial" w:cs="Arial"/>
          <w:sz w:val="21"/>
          <w:szCs w:val="21"/>
        </w:rPr>
      </w:pPr>
      <w:r w:rsidRPr="00B028ED">
        <w:rPr>
          <w:rFonts w:ascii="Arial" w:hAnsi="Arial" w:eastAsia="Arial" w:cs="Arial"/>
          <w:sz w:val="21"/>
          <w:szCs w:val="21"/>
        </w:rPr>
        <w:t>Es una persona jurídica, de carácter gremial, sin ánimo de lucro, que tiene como domicilio principal la ciudad de Bogotá. Creada con el propósito de representar a las empresas privadas afiliadas que administran servicios de salud bajo las modalidades de: Empresas de Medicina Prepagada. Entidades Promotoras de Salud de Régimen Contributivo. Entidades Promotoras de Salud de Régimen Subsidiado. Ambulancias Prepagadas.</w:t>
      </w:r>
    </w:p>
    <w:p w:rsidRPr="00B028ED" w:rsidR="00BC40DD" w:rsidP="00D86FE0" w:rsidRDefault="00BC40DD" w14:paraId="334DCD22" w14:textId="77777777">
      <w:pPr>
        <w:jc w:val="both"/>
        <w:rPr>
          <w:rFonts w:ascii="Arial" w:hAnsi="Arial" w:eastAsia="Arial" w:cs="Arial"/>
          <w:sz w:val="21"/>
          <w:szCs w:val="21"/>
        </w:rPr>
      </w:pPr>
    </w:p>
    <w:p w:rsidRPr="00B028ED" w:rsidR="00BC40DD" w:rsidP="00D86FE0" w:rsidRDefault="00BC40DD" w14:paraId="4AC36186"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Así Vamos en Salud</w:t>
      </w:r>
    </w:p>
    <w:p w:rsidRPr="00B028ED" w:rsidR="00BC40DD" w:rsidP="00D86FE0" w:rsidRDefault="00BC40DD" w14:paraId="2C7A8774" w14:textId="77777777">
      <w:pPr>
        <w:jc w:val="both"/>
        <w:rPr>
          <w:rFonts w:ascii="Arial" w:hAnsi="Arial" w:eastAsia="Arial" w:cs="Arial"/>
          <w:sz w:val="21"/>
          <w:szCs w:val="21"/>
        </w:rPr>
      </w:pPr>
      <w:r w:rsidRPr="00B028ED">
        <w:rPr>
          <w:rFonts w:ascii="Arial" w:hAnsi="Arial" w:eastAsia="Arial" w:cs="Arial"/>
          <w:sz w:val="21"/>
          <w:szCs w:val="21"/>
        </w:rPr>
        <w:t>Le dan vida varios aliados provenientes de diversos sectores como la academia, el sector fundacional, las instituciones prestadoras de servicios de salud, las aseguradoras en salud e industria farmacéutica, interesadas en una mejor salud de todos los colombianos. Su propósito es contribuir en la construcción del mejor sistema de salud (Mejores resultados, mayor satisfacción de usuarios y profesionales y sostenibilidad del sector).</w:t>
      </w:r>
    </w:p>
    <w:p w:rsidRPr="00B028ED" w:rsidR="00BC40DD" w:rsidP="00D86FE0" w:rsidRDefault="00BC40DD" w14:paraId="73AB3166" w14:textId="77777777">
      <w:pPr>
        <w:jc w:val="both"/>
        <w:rPr>
          <w:rFonts w:ascii="Arial" w:hAnsi="Arial" w:eastAsia="Arial" w:cs="Arial"/>
          <w:sz w:val="21"/>
          <w:szCs w:val="21"/>
        </w:rPr>
      </w:pPr>
    </w:p>
    <w:p w:rsidRPr="00B028ED" w:rsidR="00BC40DD" w:rsidP="00D86FE0" w:rsidRDefault="00BC40DD" w14:paraId="0993021B"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ACHC – Asociación Colombiana de Hospitales y Clínicas</w:t>
      </w:r>
    </w:p>
    <w:p w:rsidRPr="00B028ED" w:rsidR="00BC40DD" w:rsidP="00D86FE0" w:rsidRDefault="000D545D" w14:paraId="77063BD8" w14:textId="596357BE">
      <w:pPr>
        <w:jc w:val="both"/>
        <w:rPr>
          <w:rFonts w:ascii="Arial" w:hAnsi="Arial" w:eastAsia="Arial" w:cs="Arial"/>
          <w:sz w:val="21"/>
          <w:szCs w:val="21"/>
        </w:rPr>
      </w:pPr>
      <w:r w:rsidRPr="00B028ED">
        <w:rPr>
          <w:rFonts w:ascii="Arial" w:hAnsi="Arial" w:eastAsia="Arial" w:cs="Arial"/>
          <w:sz w:val="21"/>
          <w:szCs w:val="21"/>
        </w:rPr>
        <w:t>E</w:t>
      </w:r>
      <w:r w:rsidRPr="00B028ED" w:rsidR="00BC40DD">
        <w:rPr>
          <w:rFonts w:ascii="Arial" w:hAnsi="Arial" w:eastAsia="Arial" w:cs="Arial"/>
          <w:sz w:val="21"/>
          <w:szCs w:val="21"/>
        </w:rPr>
        <w:t>ntidad sin ánimo de lucro de carácter gremial, promueve el fortalecimiento técnico y administrativo de las instituciones afiliadas mediante gestiones de concertación, información, comunicación, capacitación y representación, con carácter gremial.</w:t>
      </w:r>
    </w:p>
    <w:p w:rsidRPr="00B028ED" w:rsidR="00BC40DD" w:rsidP="00D86FE0" w:rsidRDefault="00BC40DD" w14:paraId="4532C820" w14:textId="77777777">
      <w:pPr>
        <w:jc w:val="both"/>
        <w:rPr>
          <w:rFonts w:ascii="Arial" w:hAnsi="Arial" w:eastAsia="Arial" w:cs="Arial"/>
          <w:sz w:val="21"/>
          <w:szCs w:val="21"/>
        </w:rPr>
      </w:pPr>
    </w:p>
    <w:p w:rsidRPr="00B028ED" w:rsidR="00BC40DD" w:rsidP="00D86FE0" w:rsidRDefault="00BC40DD" w14:paraId="48345ACD" w14:textId="77777777">
      <w:pPr>
        <w:jc w:val="both"/>
        <w:rPr>
          <w:rFonts w:ascii="Arial" w:hAnsi="Arial" w:eastAsia="Arial" w:cs="Arial"/>
          <w:i/>
          <w:iCs/>
          <w:sz w:val="21"/>
          <w:szCs w:val="21"/>
          <w:u w:val="single"/>
        </w:rPr>
      </w:pPr>
      <w:r w:rsidRPr="00B028ED">
        <w:rPr>
          <w:rFonts w:ascii="Arial" w:hAnsi="Arial" w:eastAsia="Arial" w:cs="Arial"/>
          <w:i/>
          <w:iCs/>
          <w:sz w:val="21"/>
          <w:szCs w:val="21"/>
          <w:u w:val="single"/>
        </w:rPr>
        <w:t>Corporación Colombia Saludable</w:t>
      </w:r>
    </w:p>
    <w:p w:rsidRPr="00B028ED" w:rsidR="00BC40DD" w:rsidP="00D86FE0" w:rsidRDefault="000D545D" w14:paraId="6FD4DAD8" w14:textId="3EE16B73">
      <w:pPr>
        <w:jc w:val="both"/>
        <w:rPr>
          <w:rFonts w:ascii="Arial" w:hAnsi="Arial" w:eastAsia="Arial" w:cs="Arial"/>
          <w:sz w:val="21"/>
          <w:szCs w:val="21"/>
        </w:rPr>
      </w:pPr>
      <w:r w:rsidRPr="00B028ED">
        <w:rPr>
          <w:rFonts w:ascii="Arial" w:hAnsi="Arial" w:eastAsia="Arial" w:cs="Arial"/>
          <w:sz w:val="21"/>
          <w:szCs w:val="21"/>
        </w:rPr>
        <w:t>E</w:t>
      </w:r>
      <w:r w:rsidRPr="00B028ED" w:rsidR="00BC40DD">
        <w:rPr>
          <w:rFonts w:ascii="Arial" w:hAnsi="Arial" w:eastAsia="Arial" w:cs="Arial"/>
          <w:sz w:val="21"/>
          <w:szCs w:val="21"/>
        </w:rPr>
        <w:t xml:space="preserve">ntidad sin ánimo de lucro, fundada en el año 2002 por profesionales de la salud y áreas administrativas, con experiencia en el diseño, desarrollo e implementación de programas y proyectos orientados al cuidado integral de la salud, en sus componentes de: </w:t>
      </w:r>
    </w:p>
    <w:p w:rsidRPr="00B028ED" w:rsidR="00BC40DD" w:rsidP="00D86FE0" w:rsidRDefault="00BC40DD" w14:paraId="53DC7B04" w14:textId="77777777">
      <w:pPr>
        <w:jc w:val="both"/>
        <w:rPr>
          <w:rFonts w:ascii="Arial" w:hAnsi="Arial" w:eastAsia="Arial" w:cs="Arial"/>
          <w:sz w:val="21"/>
          <w:szCs w:val="21"/>
        </w:rPr>
      </w:pPr>
    </w:p>
    <w:p w:rsidRPr="00B028ED" w:rsidR="00BC40DD" w:rsidP="00D86FE0" w:rsidRDefault="00BC40DD" w14:paraId="4C682DAE" w14:textId="77777777">
      <w:pPr>
        <w:pStyle w:val="Prrafodelista"/>
        <w:numPr>
          <w:ilvl w:val="0"/>
          <w:numId w:val="24"/>
        </w:numPr>
        <w:contextualSpacing/>
        <w:jc w:val="both"/>
        <w:rPr>
          <w:rFonts w:ascii="Arial" w:hAnsi="Arial" w:eastAsia="Arial" w:cs="Arial"/>
          <w:sz w:val="21"/>
          <w:szCs w:val="21"/>
        </w:rPr>
      </w:pPr>
      <w:r w:rsidRPr="00B028ED">
        <w:rPr>
          <w:rFonts w:ascii="Arial" w:hAnsi="Arial" w:eastAsia="Arial" w:cs="Arial"/>
          <w:sz w:val="21"/>
          <w:szCs w:val="21"/>
        </w:rPr>
        <w:t xml:space="preserve">Promoción de la salud a través del autocuidado personal y del cuidado medio ambiente. </w:t>
      </w:r>
    </w:p>
    <w:p w:rsidRPr="00B028ED" w:rsidR="00BC40DD" w:rsidP="00D86FE0" w:rsidRDefault="00BC40DD" w14:paraId="53AD5542" w14:textId="77777777">
      <w:pPr>
        <w:pStyle w:val="Prrafodelista"/>
        <w:numPr>
          <w:ilvl w:val="0"/>
          <w:numId w:val="24"/>
        </w:numPr>
        <w:contextualSpacing/>
        <w:jc w:val="both"/>
        <w:rPr>
          <w:rFonts w:ascii="Arial" w:hAnsi="Arial" w:eastAsia="Arial" w:cs="Arial"/>
          <w:sz w:val="21"/>
          <w:szCs w:val="21"/>
        </w:rPr>
      </w:pPr>
      <w:r w:rsidRPr="00B028ED">
        <w:rPr>
          <w:rFonts w:ascii="Arial" w:hAnsi="Arial" w:eastAsia="Arial" w:cs="Arial"/>
          <w:sz w:val="21"/>
          <w:szCs w:val="21"/>
        </w:rPr>
        <w:t xml:space="preserve">Prevención de las enfermedades. </w:t>
      </w:r>
    </w:p>
    <w:p w:rsidRPr="00B028ED" w:rsidR="00BC40DD" w:rsidP="00D86FE0" w:rsidRDefault="00BC40DD" w14:paraId="3BACB824" w14:textId="77777777">
      <w:pPr>
        <w:pStyle w:val="Prrafodelista"/>
        <w:numPr>
          <w:ilvl w:val="0"/>
          <w:numId w:val="24"/>
        </w:numPr>
        <w:contextualSpacing/>
        <w:jc w:val="both"/>
        <w:rPr>
          <w:rFonts w:ascii="Arial" w:hAnsi="Arial" w:eastAsia="Arial" w:cs="Arial"/>
          <w:sz w:val="21"/>
          <w:szCs w:val="21"/>
        </w:rPr>
      </w:pPr>
      <w:r w:rsidRPr="00B028ED">
        <w:rPr>
          <w:rFonts w:ascii="Arial" w:hAnsi="Arial" w:eastAsia="Arial" w:cs="Arial"/>
          <w:sz w:val="21"/>
          <w:szCs w:val="21"/>
        </w:rPr>
        <w:t xml:space="preserve">Diagnóstico precoz. </w:t>
      </w:r>
    </w:p>
    <w:p w:rsidRPr="00B028ED" w:rsidR="00BC40DD" w:rsidP="00D86FE0" w:rsidRDefault="00BC40DD" w14:paraId="6C211DE2" w14:textId="77777777">
      <w:pPr>
        <w:pStyle w:val="Prrafodelista"/>
        <w:numPr>
          <w:ilvl w:val="0"/>
          <w:numId w:val="24"/>
        </w:numPr>
        <w:contextualSpacing/>
        <w:jc w:val="both"/>
        <w:rPr>
          <w:rFonts w:ascii="Arial" w:hAnsi="Arial" w:eastAsia="Arial" w:cs="Arial"/>
          <w:sz w:val="21"/>
          <w:szCs w:val="21"/>
        </w:rPr>
      </w:pPr>
      <w:r w:rsidRPr="00B028ED">
        <w:rPr>
          <w:rFonts w:ascii="Arial" w:hAnsi="Arial" w:eastAsia="Arial" w:cs="Arial"/>
          <w:sz w:val="21"/>
          <w:szCs w:val="21"/>
        </w:rPr>
        <w:t xml:space="preserve">Atención médica oportuna. </w:t>
      </w:r>
    </w:p>
    <w:p w:rsidRPr="00B028ED" w:rsidR="00BC40DD" w:rsidP="00D86FE0" w:rsidRDefault="00BC40DD" w14:paraId="4D845B04" w14:textId="77777777">
      <w:pPr>
        <w:pStyle w:val="Prrafodelista"/>
        <w:numPr>
          <w:ilvl w:val="0"/>
          <w:numId w:val="24"/>
        </w:numPr>
        <w:contextualSpacing/>
        <w:jc w:val="both"/>
        <w:rPr>
          <w:rFonts w:ascii="Arial" w:hAnsi="Arial" w:eastAsia="Arial" w:cs="Arial"/>
          <w:sz w:val="21"/>
          <w:szCs w:val="21"/>
        </w:rPr>
      </w:pPr>
      <w:r w:rsidRPr="00B028ED">
        <w:rPr>
          <w:rFonts w:ascii="Arial" w:hAnsi="Arial" w:eastAsia="Arial" w:cs="Arial"/>
          <w:sz w:val="21"/>
          <w:szCs w:val="21"/>
        </w:rPr>
        <w:t>Rehabilitación.</w:t>
      </w:r>
    </w:p>
    <w:p w:rsidRPr="00B028ED" w:rsidR="00BC40DD" w:rsidP="00D86FE0" w:rsidRDefault="00BC40DD" w14:paraId="69A4824A" w14:textId="77777777">
      <w:pPr>
        <w:jc w:val="both"/>
        <w:rPr>
          <w:rFonts w:ascii="Arial" w:hAnsi="Arial" w:eastAsia="Arial" w:cs="Arial"/>
          <w:sz w:val="21"/>
          <w:szCs w:val="21"/>
        </w:rPr>
      </w:pPr>
    </w:p>
    <w:p w:rsidRPr="00B028ED" w:rsidR="00BC40DD" w:rsidP="00D86FE0" w:rsidRDefault="00BC40DD" w14:paraId="692538C2" w14:textId="7C9901C7">
      <w:pPr>
        <w:jc w:val="both"/>
        <w:rPr>
          <w:rFonts w:ascii="Arial" w:hAnsi="Arial" w:eastAsia="Arial" w:cs="Arial"/>
          <w:i/>
          <w:iCs/>
          <w:sz w:val="21"/>
          <w:szCs w:val="21"/>
          <w:u w:val="single"/>
        </w:rPr>
      </w:pPr>
      <w:r w:rsidRPr="00B028ED">
        <w:rPr>
          <w:rFonts w:ascii="Arial" w:hAnsi="Arial" w:eastAsia="Arial" w:cs="Arial"/>
          <w:i/>
          <w:iCs/>
          <w:sz w:val="21"/>
          <w:szCs w:val="21"/>
          <w:u w:val="single"/>
        </w:rPr>
        <w:t>Asociaciones médicas por especialidad</w:t>
      </w:r>
    </w:p>
    <w:p w:rsidRPr="00B028ED" w:rsidR="00BC40DD" w:rsidP="00D86FE0" w:rsidRDefault="00BC40DD" w14:paraId="53FF5F10" w14:textId="77777777">
      <w:pPr>
        <w:jc w:val="both"/>
        <w:rPr>
          <w:rFonts w:ascii="Arial" w:hAnsi="Arial" w:eastAsia="Arial" w:cs="Arial"/>
          <w:sz w:val="21"/>
          <w:szCs w:val="21"/>
        </w:rPr>
      </w:pPr>
      <w:r w:rsidRPr="00B028ED">
        <w:rPr>
          <w:rFonts w:ascii="Arial" w:hAnsi="Arial" w:eastAsia="Arial" w:cs="Arial"/>
          <w:sz w:val="21"/>
          <w:szCs w:val="21"/>
        </w:rPr>
        <w:t xml:space="preserve">Existen gran cantidad de asociaciones médicas según la especialidad, entre ellas encontramos </w:t>
      </w:r>
      <w:r w:rsidRPr="00B028ED">
        <w:rPr>
          <w:rFonts w:ascii="Arial" w:hAnsi="Arial" w:eastAsia="Arial" w:cs="Arial"/>
          <w:sz w:val="21"/>
          <w:szCs w:val="21"/>
        </w:rPr>
        <w:tab/>
      </w:r>
    </w:p>
    <w:p w:rsidRPr="00B028ED" w:rsidR="00BC40DD" w:rsidP="00D86FE0" w:rsidRDefault="00BC40DD" w14:paraId="06EEDAEF"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ACCOMF - Asociación Colombiana de Cirugía Oral y Maxilofacial</w:t>
      </w:r>
    </w:p>
    <w:p w:rsidRPr="00B028ED" w:rsidR="00BC40DD" w:rsidP="00D86FE0" w:rsidRDefault="00BC40DD" w14:paraId="1451A871"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ACH - Asociación Colombiana de Hepatología</w:t>
      </w:r>
    </w:p>
    <w:p w:rsidRPr="00B028ED" w:rsidR="00BC40DD" w:rsidP="00D86FE0" w:rsidRDefault="00BC40DD" w14:paraId="1BB7B193"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ACNP - Asociación Colombiana de Neumología Pediátrica</w:t>
      </w:r>
    </w:p>
    <w:p w:rsidRPr="00B028ED" w:rsidR="00BC40DD" w:rsidP="00D86FE0" w:rsidRDefault="00BC40DD" w14:paraId="7124028E"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ACOP - Academia Colombiana de Odontología Pediátrica</w:t>
      </w:r>
    </w:p>
    <w:p w:rsidRPr="00B028ED" w:rsidR="00BC40DD" w:rsidP="00D86FE0" w:rsidRDefault="00BC40DD" w14:paraId="0D82FD98"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ACR - Asociación Colombiana de Radiología</w:t>
      </w:r>
    </w:p>
    <w:p w:rsidRPr="00B028ED" w:rsidR="00BC40DD" w:rsidP="00D86FE0" w:rsidRDefault="00BC40DD" w14:paraId="75477B5E"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ASCON - Asociación Colombiana de Neonatología</w:t>
      </w:r>
    </w:p>
    <w:p w:rsidRPr="00B028ED" w:rsidR="00BC40DD" w:rsidP="00D86FE0" w:rsidRDefault="00BC40DD" w14:paraId="5254CC78"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ASCONI - Asociación Colombiana de Neurología Infantil</w:t>
      </w:r>
      <w:r w:rsidRPr="00B028ED">
        <w:rPr>
          <w:rFonts w:ascii="Arial" w:hAnsi="Arial" w:eastAsia="Arial" w:cs="Arial"/>
          <w:sz w:val="21"/>
          <w:szCs w:val="21"/>
        </w:rPr>
        <w:tab/>
      </w:r>
    </w:p>
    <w:p w:rsidRPr="00B028ED" w:rsidR="00BC40DD" w:rsidP="00D86FE0" w:rsidRDefault="00BC40DD" w14:paraId="1A34F33C"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ASOAUDIO - Asociación Colombiana de Audiología</w:t>
      </w:r>
    </w:p>
    <w:p w:rsidRPr="00B028ED" w:rsidR="00BC40DD" w:rsidP="00D86FE0" w:rsidRDefault="00BC40DD" w14:paraId="7C63FDE4"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 xml:space="preserve">ASSOSALUD – Asociación gremial, democrática y representativa de segundo nivel de organizaciones de profesionales del sector de la Salud </w:t>
      </w:r>
    </w:p>
    <w:p w:rsidRPr="00B028ED" w:rsidR="00BC40DD" w:rsidP="00D86FE0" w:rsidRDefault="00BC40DD" w14:paraId="230FFD67"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Asociación Colombiana de Endodoncia</w:t>
      </w:r>
      <w:r w:rsidRPr="00B028ED">
        <w:rPr>
          <w:rFonts w:ascii="Arial" w:hAnsi="Arial" w:eastAsia="Arial" w:cs="Arial"/>
          <w:sz w:val="21"/>
          <w:szCs w:val="21"/>
        </w:rPr>
        <w:tab/>
      </w:r>
      <w:r w:rsidRPr="00B028ED">
        <w:rPr>
          <w:rFonts w:ascii="Arial" w:hAnsi="Arial" w:eastAsia="Arial" w:cs="Arial"/>
          <w:sz w:val="21"/>
          <w:szCs w:val="21"/>
        </w:rPr>
        <w:tab/>
      </w:r>
    </w:p>
    <w:p w:rsidRPr="00B028ED" w:rsidR="00BC40DD" w:rsidP="00D86FE0" w:rsidRDefault="00BC40DD" w14:paraId="37792FB6"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SCARE - Sociedad Colombiana de Anestesiología y Reanimación</w:t>
      </w:r>
    </w:p>
    <w:p w:rsidRPr="00B028ED" w:rsidR="00BC40DD" w:rsidP="00D86FE0" w:rsidRDefault="00BC40DD" w14:paraId="3F28240C"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SCU - Sociedad Colombiana de Urología</w:t>
      </w:r>
    </w:p>
    <w:p w:rsidRPr="00B028ED" w:rsidR="00BC40DD" w:rsidP="00D86FE0" w:rsidRDefault="00BC40DD" w14:paraId="01FBAC6A" w14:textId="77777777">
      <w:pPr>
        <w:pStyle w:val="Prrafodelista"/>
        <w:numPr>
          <w:ilvl w:val="0"/>
          <w:numId w:val="25"/>
        </w:numPr>
        <w:contextualSpacing/>
        <w:jc w:val="both"/>
        <w:rPr>
          <w:rFonts w:ascii="Arial" w:hAnsi="Arial" w:eastAsia="Arial" w:cs="Arial"/>
          <w:sz w:val="21"/>
          <w:szCs w:val="21"/>
        </w:rPr>
      </w:pPr>
      <w:r w:rsidRPr="00B028ED">
        <w:rPr>
          <w:rFonts w:ascii="Arial" w:hAnsi="Arial" w:eastAsia="Arial" w:cs="Arial"/>
          <w:sz w:val="21"/>
          <w:szCs w:val="21"/>
        </w:rPr>
        <w:t>SLIPE - Sociedad Latinoamericana de Infectología Pediátrica</w:t>
      </w:r>
    </w:p>
    <w:p w:rsidRPr="00B028ED" w:rsidR="00BC40DD" w:rsidP="00D86FE0" w:rsidRDefault="00BC40DD" w14:paraId="2F121FFF" w14:textId="77777777">
      <w:pPr>
        <w:jc w:val="both"/>
        <w:rPr>
          <w:rFonts w:ascii="Arial" w:hAnsi="Arial" w:eastAsia="Arial" w:cs="Arial"/>
          <w:sz w:val="21"/>
          <w:szCs w:val="21"/>
        </w:rPr>
      </w:pPr>
    </w:p>
    <w:p w:rsidRPr="00B028ED" w:rsidR="00BC40DD" w:rsidP="00D86FE0" w:rsidRDefault="3645F826" w14:paraId="65624A09" w14:textId="77777777">
      <w:pPr>
        <w:jc w:val="both"/>
        <w:rPr>
          <w:rFonts w:ascii="Arial" w:hAnsi="Arial" w:eastAsia="Arial" w:cs="Arial"/>
          <w:sz w:val="21"/>
          <w:szCs w:val="21"/>
        </w:rPr>
      </w:pPr>
      <w:r w:rsidRPr="00B028ED">
        <w:rPr>
          <w:rFonts w:ascii="Arial" w:hAnsi="Arial" w:eastAsia="Arial" w:cs="Arial"/>
          <w:b/>
          <w:bCs/>
          <w:sz w:val="21"/>
          <w:szCs w:val="21"/>
        </w:rPr>
        <w:t>Variables económicas:</w:t>
      </w:r>
      <w:r w:rsidRPr="00B028ED">
        <w:rPr>
          <w:rFonts w:ascii="Arial" w:hAnsi="Arial" w:eastAsia="Arial" w:cs="Arial"/>
          <w:sz w:val="21"/>
          <w:szCs w:val="21"/>
        </w:rPr>
        <w:t xml:space="preserve"> A continuación, se presentan algunas variables que afectan el sector de estudio.</w:t>
      </w:r>
    </w:p>
    <w:p w:rsidRPr="00B028ED" w:rsidR="00AA7955" w:rsidP="00D86FE0" w:rsidRDefault="00AA7955" w14:paraId="0FDC6B92" w14:textId="77777777">
      <w:pPr>
        <w:jc w:val="both"/>
        <w:rPr>
          <w:rFonts w:ascii="Arial" w:hAnsi="Arial" w:cs="Arial"/>
          <w:sz w:val="21"/>
          <w:szCs w:val="21"/>
          <w:lang w:val="es-CO"/>
        </w:rPr>
      </w:pPr>
    </w:p>
    <w:p w:rsidRPr="007878F0" w:rsidR="007878F0" w:rsidP="5AFEBD85" w:rsidRDefault="007878F0" w14:paraId="5790677B" w14:textId="7461D591">
      <w:pPr>
        <w:pStyle w:val="Textoindependiente"/>
        <w:tabs>
          <w:tab w:val="left" w:pos="284"/>
        </w:tabs>
        <w:rPr>
          <w:rFonts w:ascii="Arial" w:hAnsi="Arial" w:cs="Arial"/>
          <w:b w:val="1"/>
          <w:bCs w:val="1"/>
          <w:sz w:val="21"/>
          <w:szCs w:val="21"/>
          <w:lang w:val="es-CO"/>
        </w:rPr>
      </w:pPr>
      <w:commentRangeStart w:id="1522621548"/>
      <w:r w:rsidRPr="5CB1E3AC" w:rsidR="007878F0">
        <w:rPr>
          <w:rFonts w:ascii="Arial" w:hAnsi="Arial" w:cs="Arial"/>
          <w:b w:val="1"/>
          <w:bCs w:val="1"/>
          <w:sz w:val="21"/>
          <w:szCs w:val="21"/>
          <w:lang w:val="es-CO"/>
        </w:rPr>
        <w:t>IMPO</w:t>
      </w:r>
      <w:commentRangeEnd w:id="1522621548"/>
      <w:r>
        <w:rPr>
          <w:rStyle w:val="CommentReference"/>
        </w:rPr>
        <w:commentReference w:id="1522621548"/>
      </w:r>
    </w:p>
    <w:p w:rsidR="007878F0" w:rsidP="5AFEBD85" w:rsidRDefault="007878F0" w14:paraId="4F3B119E" w14:textId="77777777">
      <w:pPr>
        <w:pStyle w:val="Textoindependiente"/>
        <w:tabs>
          <w:tab w:val="left" w:pos="284"/>
        </w:tabs>
        <w:rPr>
          <w:rFonts w:ascii="Arial" w:hAnsi="Arial" w:cs="Arial"/>
          <w:sz w:val="21"/>
          <w:szCs w:val="21"/>
          <w:lang w:val="es-CO"/>
        </w:rPr>
      </w:pPr>
    </w:p>
    <w:p w:rsidRPr="00B028ED" w:rsidR="7C65ED4C" w:rsidP="5AFEBD85" w:rsidRDefault="788370A6" w14:paraId="55C20FB6" w14:textId="28530563">
      <w:pPr>
        <w:pStyle w:val="Textoindependiente"/>
        <w:tabs>
          <w:tab w:val="left" w:pos="284"/>
        </w:tabs>
        <w:rPr>
          <w:rFonts w:ascii="Arial" w:hAnsi="Arial" w:cs="Arial"/>
          <w:sz w:val="21"/>
          <w:szCs w:val="21"/>
          <w:lang w:val="es-CO"/>
        </w:rPr>
      </w:pPr>
      <w:r w:rsidRPr="00B028ED">
        <w:rPr>
          <w:rFonts w:ascii="Arial" w:hAnsi="Arial" w:cs="Arial"/>
          <w:sz w:val="21"/>
          <w:szCs w:val="21"/>
          <w:lang w:val="es-CO"/>
        </w:rPr>
        <w:t>El DANE en su boletín técnico Importaciones (IMPO 202</w:t>
      </w:r>
      <w:r w:rsidRPr="00B028ED" w:rsidR="65040663">
        <w:rPr>
          <w:rFonts w:ascii="Arial" w:hAnsi="Arial" w:cs="Arial"/>
          <w:sz w:val="21"/>
          <w:szCs w:val="21"/>
          <w:lang w:val="es-CO"/>
        </w:rPr>
        <w:t>6</w:t>
      </w:r>
      <w:r w:rsidRPr="00B028ED">
        <w:rPr>
          <w:rFonts w:ascii="Arial" w:hAnsi="Arial" w:cs="Arial"/>
          <w:sz w:val="21"/>
          <w:szCs w:val="21"/>
          <w:lang w:val="es-CO"/>
        </w:rPr>
        <w:t xml:space="preserve">) </w:t>
      </w:r>
      <w:r w:rsidRPr="00B028ED" w:rsidR="7C739449">
        <w:rPr>
          <w:rFonts w:ascii="Arial" w:hAnsi="Arial" w:cs="Arial"/>
          <w:sz w:val="21"/>
          <w:szCs w:val="21"/>
          <w:lang w:val="es-CO"/>
        </w:rPr>
        <w:t xml:space="preserve">de acuerdo con las declaraciones de importación registradas ante la DIAN en </w:t>
      </w:r>
      <w:r w:rsidR="007878F0">
        <w:rPr>
          <w:rFonts w:ascii="Arial" w:hAnsi="Arial" w:cs="Arial"/>
          <w:sz w:val="21"/>
          <w:szCs w:val="21"/>
          <w:lang w:val="es-CO"/>
        </w:rPr>
        <w:t>marzo</w:t>
      </w:r>
      <w:r w:rsidRPr="00B028ED" w:rsidR="7C739449">
        <w:rPr>
          <w:rFonts w:ascii="Arial" w:hAnsi="Arial" w:cs="Arial"/>
          <w:sz w:val="21"/>
          <w:szCs w:val="21"/>
          <w:lang w:val="es-CO"/>
        </w:rPr>
        <w:t xml:space="preserve"> de 2026, las importaciones fueron </w:t>
      </w:r>
      <w:r w:rsidRPr="007878F0" w:rsidR="007878F0">
        <w:rPr>
          <w:rFonts w:ascii="Arial" w:hAnsi="Arial" w:cs="Arial"/>
          <w:sz w:val="21"/>
          <w:szCs w:val="21"/>
          <w:lang w:val="es-CO"/>
        </w:rPr>
        <w:t>US$4.768,7 millones CIF y presentaron un crecimiento de 16,7% frente a marzo de 2025, como resultado de las mayores compras de Maquinaria y equipo de transporte (28,4%) y Artículos manufacturados diversos (20,1%) que aportaron en conjunto 14,1</w:t>
      </w:r>
      <w:r w:rsidRPr="00B028ED" w:rsidR="7C739449">
        <w:rPr>
          <w:rFonts w:ascii="Arial" w:hAnsi="Arial" w:cs="Arial"/>
          <w:sz w:val="21"/>
          <w:szCs w:val="21"/>
          <w:lang w:val="es-CO"/>
        </w:rPr>
        <w:t>con relación al mismo mes de 2025. Este comportamiento obedeció principalmente al aumento de 1</w:t>
      </w:r>
      <w:r w:rsidRPr="00B028ED" w:rsidR="58516F8D">
        <w:rPr>
          <w:rFonts w:ascii="Arial" w:hAnsi="Arial" w:cs="Arial"/>
          <w:sz w:val="21"/>
          <w:szCs w:val="21"/>
          <w:lang w:val="es-CO"/>
        </w:rPr>
        <w:t>3,2</w:t>
      </w:r>
      <w:r w:rsidRPr="00B028ED" w:rsidR="7C739449">
        <w:rPr>
          <w:rFonts w:ascii="Arial" w:hAnsi="Arial" w:cs="Arial"/>
          <w:sz w:val="21"/>
          <w:szCs w:val="21"/>
          <w:lang w:val="es-CO"/>
        </w:rPr>
        <w:t>% en el grupo de Manufacturas.</w:t>
      </w:r>
    </w:p>
    <w:p w:rsidRPr="00B028ED" w:rsidR="00AA7955" w:rsidP="00D86FE0" w:rsidRDefault="00AA7955" w14:paraId="3BE6B26D" w14:textId="77777777">
      <w:pPr>
        <w:pStyle w:val="Textoindependiente"/>
        <w:tabs>
          <w:tab w:val="left" w:pos="284"/>
        </w:tabs>
        <w:rPr>
          <w:rFonts w:ascii="Arial" w:hAnsi="Arial" w:cs="Arial"/>
          <w:i/>
          <w:iCs/>
          <w:sz w:val="21"/>
          <w:szCs w:val="21"/>
          <w:lang w:val="es-CO"/>
        </w:rPr>
      </w:pPr>
    </w:p>
    <w:p w:rsidRPr="00B028ED" w:rsidR="00AA7955" w:rsidP="539F01B6" w:rsidRDefault="007878F0" w14:paraId="1C57E3A1" w14:textId="15031EEF">
      <w:pPr>
        <w:pStyle w:val="Textoindependiente"/>
        <w:tabs>
          <w:tab w:val="left" w:pos="284"/>
        </w:tabs>
        <w:rPr>
          <w:rFonts w:ascii="Arial" w:hAnsi="Arial" w:cs="Arial" w:eastAsiaTheme="minorEastAsia"/>
          <w:sz w:val="21"/>
          <w:szCs w:val="21"/>
          <w:lang w:val="es-CO"/>
        </w:rPr>
      </w:pPr>
      <w:r w:rsidRPr="007878F0">
        <w:rPr>
          <w:rFonts w:ascii="Arial" w:hAnsi="Arial" w:cs="Arial" w:eastAsiaTheme="minorEastAsia"/>
          <w:sz w:val="21"/>
          <w:szCs w:val="21"/>
          <w:lang w:val="es-CO"/>
        </w:rPr>
        <w:t>En marzo de 2026, las importaciones del grupo de Combustibles y productos de las industrias extractivas fueron de US$502,7 millones CIF y presentaron una caída de 17,0%, en comparación con marzo de 2025; como resultado de las menores compras de Petróleo, productos derivados del petróleo y productos conexos (-30,5%) que aportó 21,7 puntos porcentuales negativos a la variación del grupo</w:t>
      </w:r>
      <w:r>
        <w:rPr>
          <w:rFonts w:ascii="Arial" w:hAnsi="Arial" w:cs="Arial" w:eastAsiaTheme="minorEastAsia"/>
          <w:sz w:val="21"/>
          <w:szCs w:val="21"/>
          <w:lang w:val="es-CO"/>
        </w:rPr>
        <w:t xml:space="preserve"> </w:t>
      </w:r>
      <w:r w:rsidRPr="00B028ED" w:rsidR="3C34CE7C">
        <w:rPr>
          <w:rFonts w:ascii="Arial" w:hAnsi="Arial" w:cs="Arial" w:eastAsiaTheme="minorEastAsia"/>
          <w:sz w:val="21"/>
          <w:szCs w:val="21"/>
          <w:lang w:val="es-CO"/>
        </w:rPr>
        <w:t>como</w:t>
      </w:r>
      <w:r w:rsidRPr="00B028ED" w:rsidR="7DE098E0">
        <w:rPr>
          <w:rFonts w:ascii="Arial" w:hAnsi="Arial" w:cs="Arial" w:eastAsiaTheme="minorEastAsia"/>
          <w:sz w:val="21"/>
          <w:szCs w:val="21"/>
          <w:lang w:val="es-CO"/>
        </w:rPr>
        <w:t xml:space="preserve"> se observa en la siguiente tabla:</w:t>
      </w:r>
    </w:p>
    <w:p w:rsidRPr="00B01CC0" w:rsidR="00BF2E2C" w:rsidP="5AFEBD85" w:rsidRDefault="00BF2E2C" w14:paraId="10E90DF5" w14:textId="1FC14E27">
      <w:pPr>
        <w:pStyle w:val="Textoindependiente"/>
        <w:tabs>
          <w:tab w:val="left" w:pos="284"/>
        </w:tabs>
        <w:rPr>
          <w:rFonts w:ascii="Arial" w:hAnsi="Arial" w:cs="Arial" w:eastAsiaTheme="minorEastAsia"/>
          <w:sz w:val="21"/>
          <w:szCs w:val="21"/>
          <w:lang w:val="es-CO"/>
        </w:rPr>
      </w:pPr>
    </w:p>
    <w:p w:rsidRPr="00B01CC0" w:rsidR="00BF2E2C" w:rsidP="5AFEBD85" w:rsidRDefault="50C9A059" w14:paraId="18950A02" w14:textId="64913158">
      <w:pPr>
        <w:pStyle w:val="Textoindependiente"/>
        <w:tabs>
          <w:tab w:val="left" w:pos="284"/>
        </w:tabs>
      </w:pPr>
      <w:r w:rsidRPr="539F01B6">
        <w:rPr>
          <w:rFonts w:ascii="Arial" w:hAnsi="Arial" w:cs="Arial"/>
          <w:sz w:val="21"/>
          <w:szCs w:val="21"/>
          <w:lang w:val="es-CO"/>
        </w:rPr>
        <w:t xml:space="preserve">Tabla </w:t>
      </w:r>
      <w:r w:rsidRPr="539F01B6" w:rsidR="2ECB5544">
        <w:rPr>
          <w:rFonts w:ascii="Arial" w:hAnsi="Arial" w:cs="Arial"/>
          <w:sz w:val="21"/>
          <w:szCs w:val="21"/>
          <w:lang w:val="es-CO"/>
        </w:rPr>
        <w:t>7</w:t>
      </w:r>
      <w:r w:rsidRPr="539F01B6">
        <w:rPr>
          <w:rFonts w:ascii="Arial" w:hAnsi="Arial" w:cs="Arial"/>
          <w:sz w:val="21"/>
          <w:szCs w:val="21"/>
          <w:lang w:val="es-CO"/>
        </w:rPr>
        <w:t xml:space="preserve"> del Sector</w:t>
      </w:r>
    </w:p>
    <w:p w:rsidRPr="00B01CC0" w:rsidR="00BF2E2C" w:rsidP="539F01B6" w:rsidRDefault="00BF2E2C" w14:paraId="6980D905" w14:textId="6487D242">
      <w:pPr>
        <w:pStyle w:val="Textoindependiente"/>
        <w:tabs>
          <w:tab w:val="left" w:pos="284"/>
        </w:tabs>
        <w:rPr>
          <w:rFonts w:ascii="Arial" w:hAnsi="Arial" w:cs="Arial"/>
          <w:sz w:val="21"/>
          <w:szCs w:val="21"/>
          <w:lang w:val="es-CO"/>
        </w:rPr>
      </w:pPr>
    </w:p>
    <w:p w:rsidRPr="00B01CC0" w:rsidR="00BF2E2C" w:rsidP="5AFEBD85" w:rsidRDefault="007878F0" w14:paraId="79CCF88A" w14:textId="4291287C">
      <w:pPr>
        <w:pStyle w:val="Textoindependiente"/>
        <w:tabs>
          <w:tab w:val="left" w:pos="284"/>
        </w:tabs>
      </w:pPr>
      <w:r w:rsidRPr="007878F0">
        <w:rPr>
          <w:noProof/>
          <w:lang w:val="es-CO" w:eastAsia="es-CO"/>
        </w:rPr>
        <w:drawing>
          <wp:inline distT="0" distB="0" distL="0" distR="0" wp14:anchorId="55CAE4FA" wp14:editId="3162C285">
            <wp:extent cx="5760720" cy="2188845"/>
            <wp:effectExtent l="0" t="0" r="0" b="1905"/>
            <wp:docPr id="1294750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50384" name=""/>
                    <pic:cNvPicPr/>
                  </pic:nvPicPr>
                  <pic:blipFill>
                    <a:blip r:embed="rId25"/>
                    <a:stretch>
                      <a:fillRect/>
                    </a:stretch>
                  </pic:blipFill>
                  <pic:spPr>
                    <a:xfrm>
                      <a:off x="0" y="0"/>
                      <a:ext cx="5760720" cy="2188845"/>
                    </a:xfrm>
                    <a:prstGeom prst="rect">
                      <a:avLst/>
                    </a:prstGeom>
                  </pic:spPr>
                </pic:pic>
              </a:graphicData>
            </a:graphic>
          </wp:inline>
        </w:drawing>
      </w:r>
    </w:p>
    <w:p w:rsidR="539F01B6" w:rsidP="539F01B6" w:rsidRDefault="539F01B6" w14:paraId="66FC6354" w14:textId="24F3AFE3">
      <w:pPr>
        <w:pStyle w:val="Textoindependiente"/>
        <w:tabs>
          <w:tab w:val="left" w:pos="284"/>
        </w:tabs>
        <w:rPr>
          <w:rFonts w:ascii="Arial" w:hAnsi="Arial" w:cs="Arial"/>
          <w:sz w:val="14"/>
          <w:szCs w:val="14"/>
          <w:lang w:eastAsia="es-CO"/>
        </w:rPr>
      </w:pPr>
    </w:p>
    <w:p w:rsidRPr="003D0ADA" w:rsidR="00BF2E2C" w:rsidP="00BF2E2C" w:rsidRDefault="3C34CE7C" w14:paraId="3C12EBC5" w14:textId="02221306">
      <w:pPr>
        <w:pStyle w:val="Textoindependiente"/>
        <w:tabs>
          <w:tab w:val="left" w:pos="284"/>
        </w:tabs>
      </w:pPr>
      <w:r w:rsidRPr="539F01B6">
        <w:rPr>
          <w:rFonts w:ascii="Arial" w:hAnsi="Arial" w:cs="Arial"/>
          <w:sz w:val="14"/>
          <w:szCs w:val="14"/>
          <w:lang w:eastAsia="es-CO"/>
        </w:rPr>
        <w:t xml:space="preserve">Fuente: Departamento Administrativo Nacional de Estadística (DANE). </w:t>
      </w:r>
      <w:r w:rsidRPr="539F01B6">
        <w:rPr>
          <w:rFonts w:ascii="Arial" w:hAnsi="Arial" w:cs="Arial"/>
          <w:i/>
          <w:iCs/>
          <w:sz w:val="14"/>
          <w:szCs w:val="14"/>
          <w:lang w:eastAsia="es-CO"/>
        </w:rPr>
        <w:t xml:space="preserve">Boletín Técnico Importaciones (IMPO). </w:t>
      </w:r>
      <w:r w:rsidR="007878F0">
        <w:rPr>
          <w:rFonts w:ascii="Arial" w:hAnsi="Arial" w:cs="Arial"/>
          <w:i/>
          <w:iCs/>
          <w:sz w:val="14"/>
          <w:szCs w:val="14"/>
          <w:lang w:eastAsia="es-CO"/>
        </w:rPr>
        <w:t>Marzo</w:t>
      </w:r>
      <w:r w:rsidRPr="539F01B6" w:rsidR="1A22901A">
        <w:rPr>
          <w:rFonts w:ascii="Arial" w:hAnsi="Arial" w:cs="Arial"/>
          <w:i/>
          <w:iCs/>
          <w:sz w:val="14"/>
          <w:szCs w:val="14"/>
          <w:lang w:eastAsia="es-CO"/>
        </w:rPr>
        <w:t xml:space="preserve"> </w:t>
      </w:r>
      <w:r w:rsidRPr="539F01B6">
        <w:rPr>
          <w:rFonts w:ascii="Arial" w:hAnsi="Arial" w:cs="Arial"/>
          <w:i/>
          <w:iCs/>
          <w:sz w:val="14"/>
          <w:szCs w:val="14"/>
          <w:lang w:eastAsia="es-CO"/>
        </w:rPr>
        <w:t>202</w:t>
      </w:r>
      <w:r w:rsidRPr="539F01B6" w:rsidR="2634C92B">
        <w:rPr>
          <w:rFonts w:ascii="Arial" w:hAnsi="Arial" w:cs="Arial"/>
          <w:i/>
          <w:iCs/>
          <w:sz w:val="14"/>
          <w:szCs w:val="14"/>
          <w:lang w:eastAsia="es-CO"/>
        </w:rPr>
        <w:t>6</w:t>
      </w:r>
      <w:r w:rsidRPr="539F01B6">
        <w:rPr>
          <w:rFonts w:ascii="Arial" w:hAnsi="Arial" w:cs="Arial"/>
          <w:i/>
          <w:iCs/>
          <w:sz w:val="14"/>
          <w:szCs w:val="14"/>
          <w:lang w:eastAsia="es-CO"/>
        </w:rPr>
        <w:t xml:space="preserve">. </w:t>
      </w:r>
      <w:hyperlink r:id="rId26">
        <w:r w:rsidRPr="539F01B6">
          <w:rPr>
            <w:rStyle w:val="Hipervnculo"/>
            <w:rFonts w:ascii="Arial" w:hAnsi="Arial" w:cs="Arial"/>
            <w:color w:val="auto"/>
            <w:sz w:val="16"/>
            <w:szCs w:val="16"/>
          </w:rPr>
          <w:t>https://www.dane.gov.co/index.php/comunicados-y-boletines/comercio-exterior/importaciones</w:t>
        </w:r>
      </w:hyperlink>
      <w:r w:rsidRPr="539F01B6">
        <w:rPr>
          <w:rFonts w:ascii="Arial" w:hAnsi="Arial" w:cs="Arial"/>
          <w:sz w:val="18"/>
          <w:szCs w:val="18"/>
        </w:rPr>
        <w:t xml:space="preserve"> </w:t>
      </w:r>
      <w:r w:rsidRPr="539F01B6">
        <w:rPr>
          <w:rFonts w:ascii="Arial" w:hAnsi="Arial" w:cs="Arial"/>
          <w:sz w:val="14"/>
          <w:szCs w:val="14"/>
          <w:lang w:eastAsia="es-CO"/>
        </w:rPr>
        <w:t xml:space="preserve">Fecha de consulta: </w:t>
      </w:r>
      <w:r w:rsidR="007878F0">
        <w:rPr>
          <w:rFonts w:ascii="Arial" w:hAnsi="Arial" w:cs="Arial"/>
          <w:sz w:val="14"/>
          <w:szCs w:val="14"/>
          <w:lang w:eastAsia="es-CO"/>
        </w:rPr>
        <w:t>10</w:t>
      </w:r>
      <w:r w:rsidRPr="539F01B6">
        <w:rPr>
          <w:rFonts w:ascii="Arial" w:hAnsi="Arial" w:cs="Arial"/>
          <w:sz w:val="14"/>
          <w:szCs w:val="14"/>
          <w:lang w:eastAsia="es-CO"/>
        </w:rPr>
        <w:t xml:space="preserve"> de </w:t>
      </w:r>
      <w:r w:rsidR="007878F0">
        <w:rPr>
          <w:rFonts w:ascii="Arial" w:hAnsi="Arial" w:cs="Arial"/>
          <w:sz w:val="14"/>
          <w:szCs w:val="14"/>
          <w:lang w:eastAsia="es-CO"/>
        </w:rPr>
        <w:t>juni</w:t>
      </w:r>
      <w:r w:rsidR="00B004DD">
        <w:rPr>
          <w:rFonts w:ascii="Arial" w:hAnsi="Arial" w:cs="Arial"/>
          <w:sz w:val="14"/>
          <w:szCs w:val="14"/>
          <w:lang w:eastAsia="es-CO"/>
        </w:rPr>
        <w:t xml:space="preserve">o </w:t>
      </w:r>
      <w:r w:rsidRPr="539F01B6">
        <w:rPr>
          <w:rFonts w:ascii="Arial" w:hAnsi="Arial" w:cs="Arial"/>
          <w:sz w:val="14"/>
          <w:szCs w:val="14"/>
          <w:lang w:eastAsia="es-CO"/>
        </w:rPr>
        <w:t>202</w:t>
      </w:r>
      <w:r w:rsidRPr="539F01B6" w:rsidR="17565656">
        <w:rPr>
          <w:rFonts w:ascii="Arial" w:hAnsi="Arial" w:cs="Arial"/>
          <w:sz w:val="14"/>
          <w:szCs w:val="14"/>
          <w:lang w:eastAsia="es-CO"/>
        </w:rPr>
        <w:t>6</w:t>
      </w:r>
      <w:r w:rsidRPr="539F01B6">
        <w:rPr>
          <w:rFonts w:ascii="Arial" w:hAnsi="Arial" w:cs="Arial"/>
          <w:sz w:val="14"/>
          <w:szCs w:val="14"/>
          <w:lang w:eastAsia="es-CO"/>
        </w:rPr>
        <w:t>.</w:t>
      </w:r>
    </w:p>
    <w:p w:rsidRPr="003D0ADA" w:rsidR="00BF2E2C" w:rsidP="539F01B6" w:rsidRDefault="00BF2E2C" w14:paraId="3AC7D940" w14:textId="519B9293">
      <w:pPr>
        <w:pStyle w:val="Textoindependiente"/>
        <w:tabs>
          <w:tab w:val="left" w:pos="284"/>
        </w:tabs>
        <w:rPr>
          <w:rFonts w:ascii="Arial" w:hAnsi="Arial" w:cs="Arial"/>
          <w:sz w:val="21"/>
          <w:szCs w:val="21"/>
          <w:lang w:val="es-CO"/>
        </w:rPr>
      </w:pPr>
    </w:p>
    <w:p w:rsidRPr="003D0ADA" w:rsidR="00BF2E2C" w:rsidP="00BF2E2C" w:rsidRDefault="08DBB132" w14:paraId="5AD059AA" w14:textId="14A61AB5">
      <w:pPr>
        <w:pStyle w:val="Textoindependiente"/>
        <w:tabs>
          <w:tab w:val="left" w:pos="284"/>
        </w:tabs>
        <w:rPr>
          <w:rFonts w:ascii="Arial" w:hAnsi="Arial" w:cs="Arial"/>
          <w:sz w:val="21"/>
          <w:szCs w:val="21"/>
          <w:lang w:val="es-CO"/>
        </w:rPr>
      </w:pPr>
      <w:r w:rsidRPr="539F01B6">
        <w:rPr>
          <w:rFonts w:ascii="Arial" w:hAnsi="Arial" w:cs="Arial"/>
          <w:sz w:val="21"/>
          <w:szCs w:val="21"/>
          <w:lang w:val="es-CO"/>
        </w:rPr>
        <w:t xml:space="preserve">Tabla </w:t>
      </w:r>
      <w:r w:rsidRPr="539F01B6" w:rsidR="1B289504">
        <w:rPr>
          <w:rFonts w:ascii="Arial" w:hAnsi="Arial" w:cs="Arial"/>
          <w:sz w:val="21"/>
          <w:szCs w:val="21"/>
          <w:lang w:val="es-CO"/>
        </w:rPr>
        <w:t>8</w:t>
      </w:r>
      <w:r w:rsidRPr="539F01B6" w:rsidR="0943BB69">
        <w:rPr>
          <w:rFonts w:ascii="Arial" w:hAnsi="Arial" w:cs="Arial"/>
          <w:sz w:val="21"/>
          <w:szCs w:val="21"/>
          <w:lang w:val="es-CO"/>
        </w:rPr>
        <w:t xml:space="preserve"> del Sector</w:t>
      </w:r>
    </w:p>
    <w:p w:rsidR="00BF2E2C" w:rsidP="00D86FE0" w:rsidRDefault="00BF2E2C" w14:paraId="43D6FB37" w14:textId="77777777">
      <w:pPr>
        <w:pStyle w:val="Textoindependiente"/>
        <w:tabs>
          <w:tab w:val="left" w:pos="284"/>
        </w:tabs>
        <w:rPr>
          <w:rFonts w:ascii="Arial" w:hAnsi="Arial" w:cs="Arial"/>
          <w:i/>
          <w:iCs/>
          <w:sz w:val="21"/>
          <w:szCs w:val="21"/>
          <w:lang w:val="es-CO"/>
        </w:rPr>
      </w:pPr>
    </w:p>
    <w:p w:rsidRPr="003D0ADA" w:rsidR="00AA7955" w:rsidP="5AFEBD85" w:rsidRDefault="007F08C3" w14:paraId="268F8E4A" w14:textId="150E762C">
      <w:pPr>
        <w:pStyle w:val="Textoindependiente"/>
        <w:tabs>
          <w:tab w:val="left" w:pos="284"/>
        </w:tabs>
      </w:pPr>
      <w:r w:rsidRPr="007F08C3">
        <w:rPr>
          <w:noProof/>
          <w:lang w:val="es-CO" w:eastAsia="es-CO"/>
        </w:rPr>
        <w:drawing>
          <wp:inline distT="0" distB="0" distL="0" distR="0" wp14:anchorId="66D83E10" wp14:editId="10D1E1FA">
            <wp:extent cx="4770533" cy="4054191"/>
            <wp:effectExtent l="0" t="0" r="0" b="3810"/>
            <wp:docPr id="20253697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369732" name=""/>
                    <pic:cNvPicPr/>
                  </pic:nvPicPr>
                  <pic:blipFill>
                    <a:blip r:embed="rId27"/>
                    <a:stretch>
                      <a:fillRect/>
                    </a:stretch>
                  </pic:blipFill>
                  <pic:spPr>
                    <a:xfrm>
                      <a:off x="0" y="0"/>
                      <a:ext cx="4770533" cy="4054191"/>
                    </a:xfrm>
                    <a:prstGeom prst="rect">
                      <a:avLst/>
                    </a:prstGeom>
                  </pic:spPr>
                </pic:pic>
              </a:graphicData>
            </a:graphic>
          </wp:inline>
        </w:drawing>
      </w:r>
    </w:p>
    <w:p w:rsidRPr="003D0ADA" w:rsidR="00AA7955" w:rsidP="5AFEBD85" w:rsidRDefault="788370A6" w14:paraId="3D1B56BB" w14:textId="5AEB499D">
      <w:pPr>
        <w:pStyle w:val="Textoindependiente"/>
        <w:tabs>
          <w:tab w:val="left" w:pos="284"/>
        </w:tabs>
        <w:rPr>
          <w:rFonts w:ascii="Arial" w:hAnsi="Arial" w:cs="Arial"/>
          <w:sz w:val="14"/>
          <w:szCs w:val="14"/>
          <w:lang w:eastAsia="es-CO"/>
        </w:rPr>
      </w:pPr>
      <w:r w:rsidRPr="539F01B6">
        <w:rPr>
          <w:rFonts w:ascii="Arial" w:hAnsi="Arial" w:cs="Arial"/>
          <w:sz w:val="14"/>
          <w:szCs w:val="14"/>
          <w:lang w:eastAsia="es-CO"/>
        </w:rPr>
        <w:t xml:space="preserve">Fuente: Departamento Administrativo Nacional de Estadística (DANE). </w:t>
      </w:r>
      <w:r w:rsidRPr="539F01B6">
        <w:rPr>
          <w:rFonts w:ascii="Arial" w:hAnsi="Arial" w:cs="Arial"/>
          <w:i/>
          <w:iCs/>
          <w:sz w:val="14"/>
          <w:szCs w:val="14"/>
          <w:lang w:eastAsia="es-CO"/>
        </w:rPr>
        <w:t xml:space="preserve">Boletín Técnico Importaciones (IMPO). </w:t>
      </w:r>
      <w:r w:rsidR="007F08C3">
        <w:rPr>
          <w:rFonts w:ascii="Arial" w:hAnsi="Arial" w:cs="Arial"/>
          <w:i/>
          <w:iCs/>
          <w:sz w:val="14"/>
          <w:szCs w:val="14"/>
          <w:lang w:eastAsia="es-CO"/>
        </w:rPr>
        <w:t>Marzo</w:t>
      </w:r>
      <w:r w:rsidRPr="539F01B6" w:rsidR="3036975D">
        <w:rPr>
          <w:rFonts w:ascii="Arial" w:hAnsi="Arial" w:cs="Arial"/>
          <w:i/>
          <w:iCs/>
          <w:sz w:val="14"/>
          <w:szCs w:val="14"/>
          <w:lang w:eastAsia="es-CO"/>
        </w:rPr>
        <w:t xml:space="preserve"> </w:t>
      </w:r>
      <w:r w:rsidRPr="539F01B6">
        <w:rPr>
          <w:rFonts w:ascii="Arial" w:hAnsi="Arial" w:cs="Arial"/>
          <w:i/>
          <w:iCs/>
          <w:sz w:val="14"/>
          <w:szCs w:val="14"/>
          <w:lang w:eastAsia="es-CO"/>
        </w:rPr>
        <w:t>202</w:t>
      </w:r>
      <w:r w:rsidRPr="539F01B6" w:rsidR="5C4987EF">
        <w:rPr>
          <w:rFonts w:ascii="Arial" w:hAnsi="Arial" w:cs="Arial"/>
          <w:i/>
          <w:iCs/>
          <w:sz w:val="14"/>
          <w:szCs w:val="14"/>
          <w:lang w:eastAsia="es-CO"/>
        </w:rPr>
        <w:t>6</w:t>
      </w:r>
      <w:r w:rsidRPr="539F01B6">
        <w:rPr>
          <w:rFonts w:ascii="Arial" w:hAnsi="Arial" w:cs="Arial"/>
          <w:i/>
          <w:iCs/>
          <w:sz w:val="14"/>
          <w:szCs w:val="14"/>
          <w:lang w:eastAsia="es-CO"/>
        </w:rPr>
        <w:t xml:space="preserve">. </w:t>
      </w:r>
      <w:r w:rsidRPr="539F01B6" w:rsidR="630D0CB5">
        <w:rPr>
          <w:rFonts w:ascii="Arial" w:hAnsi="Arial" w:cs="Arial"/>
          <w:i/>
          <w:iCs/>
          <w:sz w:val="14"/>
          <w:szCs w:val="14"/>
          <w:lang w:eastAsia="es-CO"/>
        </w:rPr>
        <w:t>https://www.dane.gov.co/index.php/comunicados-y-boletines/comercio-exterior/importaciones</w:t>
      </w:r>
      <w:r w:rsidRPr="539F01B6">
        <w:rPr>
          <w:rFonts w:ascii="Arial" w:hAnsi="Arial" w:cs="Arial"/>
          <w:sz w:val="18"/>
          <w:szCs w:val="18"/>
        </w:rPr>
        <w:t xml:space="preserve"> </w:t>
      </w:r>
      <w:r w:rsidRPr="539F01B6">
        <w:rPr>
          <w:rFonts w:ascii="Arial" w:hAnsi="Arial" w:cs="Arial"/>
          <w:sz w:val="14"/>
          <w:szCs w:val="14"/>
          <w:lang w:eastAsia="es-CO"/>
        </w:rPr>
        <w:t xml:space="preserve">Fecha de consulta: </w:t>
      </w:r>
      <w:r w:rsidR="007F08C3">
        <w:rPr>
          <w:rFonts w:ascii="Arial" w:hAnsi="Arial" w:cs="Arial"/>
          <w:sz w:val="14"/>
          <w:szCs w:val="14"/>
          <w:lang w:eastAsia="es-CO"/>
        </w:rPr>
        <w:t>10</w:t>
      </w:r>
      <w:r w:rsidR="00B004DD">
        <w:rPr>
          <w:rFonts w:ascii="Arial" w:hAnsi="Arial" w:cs="Arial"/>
          <w:sz w:val="14"/>
          <w:szCs w:val="14"/>
          <w:lang w:eastAsia="es-CO"/>
        </w:rPr>
        <w:t xml:space="preserve"> de </w:t>
      </w:r>
      <w:r w:rsidR="007F08C3">
        <w:rPr>
          <w:rFonts w:ascii="Arial" w:hAnsi="Arial" w:cs="Arial"/>
          <w:sz w:val="14"/>
          <w:szCs w:val="14"/>
          <w:lang w:eastAsia="es-CO"/>
        </w:rPr>
        <w:t>junio</w:t>
      </w:r>
      <w:r w:rsidRPr="539F01B6">
        <w:rPr>
          <w:rFonts w:ascii="Arial" w:hAnsi="Arial" w:cs="Arial"/>
          <w:sz w:val="14"/>
          <w:szCs w:val="14"/>
          <w:lang w:eastAsia="es-CO"/>
        </w:rPr>
        <w:t xml:space="preserve"> de 202</w:t>
      </w:r>
      <w:r w:rsidRPr="539F01B6" w:rsidR="5F661FED">
        <w:rPr>
          <w:rFonts w:ascii="Arial" w:hAnsi="Arial" w:cs="Arial"/>
          <w:sz w:val="14"/>
          <w:szCs w:val="14"/>
          <w:lang w:eastAsia="es-CO"/>
        </w:rPr>
        <w:t>6</w:t>
      </w:r>
      <w:r w:rsidRPr="539F01B6">
        <w:rPr>
          <w:rFonts w:ascii="Arial" w:hAnsi="Arial" w:cs="Arial"/>
          <w:sz w:val="14"/>
          <w:szCs w:val="14"/>
          <w:lang w:eastAsia="es-CO"/>
        </w:rPr>
        <w:t>.</w:t>
      </w:r>
    </w:p>
    <w:p w:rsidRPr="003D0ADA" w:rsidR="2CB9E640" w:rsidP="2CB9E640" w:rsidRDefault="2CB9E640" w14:paraId="7CEAD341" w14:textId="764A33FF">
      <w:pPr>
        <w:jc w:val="both"/>
        <w:rPr>
          <w:rFonts w:ascii="Arial" w:hAnsi="Arial" w:eastAsia="Arial" w:cs="Arial"/>
          <w:sz w:val="22"/>
          <w:szCs w:val="22"/>
        </w:rPr>
      </w:pPr>
    </w:p>
    <w:p w:rsidRPr="00B028ED" w:rsidR="00BC40DD" w:rsidP="00D86FE0" w:rsidRDefault="232821E7" w14:paraId="06BF284B" w14:textId="32149B2F">
      <w:pPr>
        <w:jc w:val="both"/>
        <w:rPr>
          <w:sz w:val="21"/>
          <w:szCs w:val="21"/>
        </w:rPr>
      </w:pPr>
      <w:r w:rsidRPr="00B028ED">
        <w:rPr>
          <w:rFonts w:ascii="Arial" w:hAnsi="Arial" w:eastAsia="Arial" w:cs="Arial"/>
          <w:sz w:val="21"/>
          <w:szCs w:val="21"/>
        </w:rPr>
        <w:t xml:space="preserve">Como se puede observar en la tabla </w:t>
      </w:r>
      <w:r w:rsidRPr="00B028ED" w:rsidR="4569A3FF">
        <w:rPr>
          <w:rFonts w:ascii="Arial" w:hAnsi="Arial" w:eastAsia="Arial" w:cs="Arial"/>
          <w:sz w:val="21"/>
          <w:szCs w:val="21"/>
        </w:rPr>
        <w:t xml:space="preserve">anterior </w:t>
      </w:r>
      <w:r w:rsidRPr="00B028ED">
        <w:rPr>
          <w:rFonts w:ascii="Arial" w:hAnsi="Arial" w:eastAsia="Arial" w:cs="Arial"/>
          <w:sz w:val="21"/>
          <w:szCs w:val="21"/>
        </w:rPr>
        <w:t>para el grupo manufacturer</w:t>
      </w:r>
      <w:r w:rsidRPr="00B028ED" w:rsidR="3C34CE7C">
        <w:rPr>
          <w:rFonts w:ascii="Arial" w:hAnsi="Arial" w:eastAsia="Arial" w:cs="Arial"/>
          <w:sz w:val="21"/>
          <w:szCs w:val="21"/>
        </w:rPr>
        <w:t xml:space="preserve">o, </w:t>
      </w:r>
      <w:r w:rsidRPr="00B028ED" w:rsidR="52185D15">
        <w:rPr>
          <w:rFonts w:ascii="Arial" w:hAnsi="Arial" w:eastAsia="Arial" w:cs="Arial"/>
          <w:sz w:val="21"/>
          <w:szCs w:val="21"/>
        </w:rPr>
        <w:t>las importaciones de Manufacturas fueron de US$</w:t>
      </w:r>
      <w:r w:rsidR="00350677">
        <w:rPr>
          <w:rFonts w:ascii="Arial" w:hAnsi="Arial" w:eastAsia="Arial" w:cs="Arial"/>
          <w:sz w:val="21"/>
          <w:szCs w:val="21"/>
        </w:rPr>
        <w:t>4.087,5</w:t>
      </w:r>
      <w:r w:rsidRPr="00B028ED" w:rsidR="52185D15">
        <w:rPr>
          <w:rFonts w:ascii="Arial" w:hAnsi="Arial" w:eastAsia="Arial" w:cs="Arial"/>
          <w:sz w:val="21"/>
          <w:szCs w:val="21"/>
        </w:rPr>
        <w:t xml:space="preserve"> millones CIF y presentaron un crecimiento de </w:t>
      </w:r>
      <w:r w:rsidR="00350677">
        <w:rPr>
          <w:rFonts w:ascii="Arial" w:hAnsi="Arial" w:eastAsia="Arial" w:cs="Arial"/>
          <w:sz w:val="21"/>
          <w:szCs w:val="21"/>
        </w:rPr>
        <w:t>16.7</w:t>
      </w:r>
      <w:r w:rsidRPr="00B028ED" w:rsidR="52185D15">
        <w:rPr>
          <w:rFonts w:ascii="Arial" w:hAnsi="Arial" w:eastAsia="Arial" w:cs="Arial"/>
          <w:sz w:val="21"/>
          <w:szCs w:val="21"/>
        </w:rPr>
        <w:t xml:space="preserve">% frente a </w:t>
      </w:r>
      <w:r w:rsidR="00350677">
        <w:rPr>
          <w:rFonts w:ascii="Arial" w:hAnsi="Arial" w:eastAsia="Arial" w:cs="Arial"/>
          <w:sz w:val="21"/>
          <w:szCs w:val="21"/>
        </w:rPr>
        <w:t>marzo</w:t>
      </w:r>
      <w:r w:rsidRPr="00B028ED" w:rsidR="52185D15">
        <w:rPr>
          <w:rFonts w:ascii="Arial" w:hAnsi="Arial" w:eastAsia="Arial" w:cs="Arial"/>
          <w:sz w:val="21"/>
          <w:szCs w:val="21"/>
        </w:rPr>
        <w:t xml:space="preserve"> de 2025, </w:t>
      </w:r>
      <w:r w:rsidRPr="00B028ED" w:rsidR="3C34CE7C">
        <w:rPr>
          <w:rFonts w:ascii="Arial" w:hAnsi="Arial" w:eastAsia="Arial" w:cs="Arial"/>
          <w:sz w:val="21"/>
          <w:szCs w:val="21"/>
        </w:rPr>
        <w:t xml:space="preserve">la actividad de productos químicos y productos conexos </w:t>
      </w:r>
      <w:proofErr w:type="spellStart"/>
      <w:r w:rsidRPr="00B028ED" w:rsidR="3C34CE7C">
        <w:rPr>
          <w:rFonts w:ascii="Arial" w:hAnsi="Arial" w:eastAsia="Arial" w:cs="Arial"/>
          <w:sz w:val="21"/>
          <w:szCs w:val="21"/>
        </w:rPr>
        <w:t>n.e.p</w:t>
      </w:r>
      <w:proofErr w:type="spellEnd"/>
      <w:r w:rsidRPr="00B028ED" w:rsidR="3C34CE7C">
        <w:rPr>
          <w:rFonts w:ascii="Arial" w:hAnsi="Arial" w:eastAsia="Arial" w:cs="Arial"/>
          <w:sz w:val="21"/>
          <w:szCs w:val="21"/>
        </w:rPr>
        <w:t xml:space="preserve"> </w:t>
      </w:r>
      <w:r w:rsidRPr="00B028ED" w:rsidR="1446499B">
        <w:rPr>
          <w:rFonts w:ascii="Arial" w:hAnsi="Arial" w:eastAsia="Arial" w:cs="Arial"/>
          <w:sz w:val="21"/>
          <w:szCs w:val="21"/>
        </w:rPr>
        <w:t>se evidencia que presenta una variación</w:t>
      </w:r>
      <w:r w:rsidRPr="00B028ED" w:rsidR="3C34CE7C">
        <w:rPr>
          <w:rFonts w:ascii="Arial" w:hAnsi="Arial" w:eastAsia="Arial" w:cs="Arial"/>
          <w:sz w:val="21"/>
          <w:szCs w:val="21"/>
        </w:rPr>
        <w:t xml:space="preserve"> % del </w:t>
      </w:r>
      <w:r w:rsidR="00350677">
        <w:rPr>
          <w:rFonts w:ascii="Arial" w:hAnsi="Arial" w:eastAsia="Arial" w:cs="Arial"/>
          <w:sz w:val="21"/>
          <w:szCs w:val="21"/>
        </w:rPr>
        <w:t>6,5</w:t>
      </w:r>
      <w:r w:rsidRPr="00B028ED" w:rsidR="1446499B">
        <w:rPr>
          <w:rFonts w:ascii="Arial" w:hAnsi="Arial" w:eastAsia="Arial" w:cs="Arial"/>
          <w:sz w:val="21"/>
          <w:szCs w:val="21"/>
        </w:rPr>
        <w:t xml:space="preserve"> y en la contribución a la variación del total (</w:t>
      </w:r>
      <w:proofErr w:type="spellStart"/>
      <w:r w:rsidRPr="00B028ED" w:rsidR="1446499B">
        <w:rPr>
          <w:rFonts w:ascii="Arial" w:hAnsi="Arial" w:eastAsia="Arial" w:cs="Arial"/>
          <w:sz w:val="21"/>
          <w:szCs w:val="21"/>
        </w:rPr>
        <w:t>pp</w:t>
      </w:r>
      <w:proofErr w:type="spellEnd"/>
      <w:r w:rsidRPr="00B028ED" w:rsidR="1446499B">
        <w:rPr>
          <w:rFonts w:ascii="Arial" w:hAnsi="Arial" w:eastAsia="Arial" w:cs="Arial"/>
          <w:sz w:val="21"/>
          <w:szCs w:val="21"/>
        </w:rPr>
        <w:t>) del</w:t>
      </w:r>
      <w:r w:rsidRPr="00B028ED" w:rsidR="3C34CE7C">
        <w:rPr>
          <w:rFonts w:ascii="Arial" w:hAnsi="Arial" w:eastAsia="Arial" w:cs="Arial"/>
          <w:sz w:val="21"/>
          <w:szCs w:val="21"/>
        </w:rPr>
        <w:t xml:space="preserve"> </w:t>
      </w:r>
      <w:r w:rsidR="00350677">
        <w:rPr>
          <w:rFonts w:ascii="Arial" w:hAnsi="Arial" w:eastAsia="Arial" w:cs="Arial"/>
          <w:sz w:val="21"/>
          <w:szCs w:val="21"/>
        </w:rPr>
        <w:t>1.5</w:t>
      </w:r>
      <w:r w:rsidRPr="00B028ED" w:rsidR="1446499B">
        <w:rPr>
          <w:rFonts w:ascii="Arial" w:hAnsi="Arial" w:eastAsia="Arial" w:cs="Arial"/>
          <w:sz w:val="21"/>
          <w:szCs w:val="21"/>
        </w:rPr>
        <w:t>.</w:t>
      </w:r>
    </w:p>
    <w:p w:rsidRPr="00B028ED" w:rsidR="539F01B6" w:rsidP="539F01B6" w:rsidRDefault="539F01B6" w14:paraId="5450A6C6" w14:textId="0E9C6BC2">
      <w:pPr>
        <w:jc w:val="both"/>
        <w:rPr>
          <w:rFonts w:ascii="Arial" w:hAnsi="Arial" w:eastAsia="Arial" w:cs="Arial"/>
          <w:sz w:val="21"/>
          <w:szCs w:val="21"/>
        </w:rPr>
      </w:pPr>
    </w:p>
    <w:p w:rsidR="539F01B6" w:rsidP="539F01B6" w:rsidRDefault="539F01B6" w14:paraId="1AB073B4" w14:textId="44FFF9C7">
      <w:pPr>
        <w:jc w:val="both"/>
        <w:rPr>
          <w:rFonts w:ascii="Arial" w:hAnsi="Arial" w:eastAsia="Arial" w:cs="Arial"/>
          <w:sz w:val="22"/>
          <w:szCs w:val="22"/>
        </w:rPr>
      </w:pPr>
    </w:p>
    <w:p w:rsidR="288DDD9B" w:rsidP="539F01B6" w:rsidRDefault="288DDD9B" w14:paraId="2D2710DA" w14:textId="54BC08A9">
      <w:pPr>
        <w:jc w:val="both"/>
      </w:pPr>
      <w:r w:rsidRPr="539F01B6">
        <w:rPr>
          <w:rFonts w:ascii="Arial" w:hAnsi="Arial" w:cs="Arial"/>
          <w:sz w:val="21"/>
          <w:szCs w:val="21"/>
          <w:lang w:val="es-CO"/>
        </w:rPr>
        <w:t>Tabla 9 del Sector</w:t>
      </w:r>
    </w:p>
    <w:p w:rsidR="539F01B6" w:rsidP="539F01B6" w:rsidRDefault="539F01B6" w14:paraId="4EB9F525" w14:textId="47C84DD9">
      <w:pPr>
        <w:jc w:val="both"/>
        <w:rPr>
          <w:rFonts w:ascii="Arial" w:hAnsi="Arial" w:cs="Arial"/>
          <w:sz w:val="21"/>
          <w:szCs w:val="21"/>
          <w:lang w:val="es-CO"/>
        </w:rPr>
      </w:pPr>
    </w:p>
    <w:p w:rsidR="540305A6" w:rsidP="539F01B6" w:rsidRDefault="006D72C0" w14:paraId="5D897778" w14:textId="41B27627">
      <w:pPr>
        <w:jc w:val="both"/>
      </w:pPr>
      <w:r w:rsidRPr="006D72C0">
        <w:rPr>
          <w:noProof/>
          <w:lang w:val="es-CO" w:eastAsia="es-CO"/>
        </w:rPr>
        <w:drawing>
          <wp:inline distT="0" distB="0" distL="0" distR="0" wp14:anchorId="766B8464" wp14:editId="15C2E272">
            <wp:extent cx="4724809" cy="4244708"/>
            <wp:effectExtent l="0" t="0" r="0" b="3810"/>
            <wp:docPr id="3405561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556153" name=""/>
                    <pic:cNvPicPr/>
                  </pic:nvPicPr>
                  <pic:blipFill>
                    <a:blip r:embed="rId28"/>
                    <a:stretch>
                      <a:fillRect/>
                    </a:stretch>
                  </pic:blipFill>
                  <pic:spPr>
                    <a:xfrm>
                      <a:off x="0" y="0"/>
                      <a:ext cx="4724809" cy="4244708"/>
                    </a:xfrm>
                    <a:prstGeom prst="rect">
                      <a:avLst/>
                    </a:prstGeom>
                  </pic:spPr>
                </pic:pic>
              </a:graphicData>
            </a:graphic>
          </wp:inline>
        </w:drawing>
      </w:r>
    </w:p>
    <w:p w:rsidR="540305A6" w:rsidP="539F01B6" w:rsidRDefault="540305A6" w14:paraId="38CB781F" w14:textId="7ACC8F0F">
      <w:pPr>
        <w:pStyle w:val="Textoindependiente"/>
        <w:tabs>
          <w:tab w:val="left" w:pos="284"/>
        </w:tabs>
        <w:rPr>
          <w:rFonts w:ascii="Arial" w:hAnsi="Arial" w:cs="Arial"/>
          <w:sz w:val="14"/>
          <w:szCs w:val="14"/>
          <w:lang w:eastAsia="es-CO"/>
        </w:rPr>
      </w:pPr>
      <w:r w:rsidRPr="539F01B6">
        <w:rPr>
          <w:rFonts w:ascii="Arial" w:hAnsi="Arial" w:cs="Arial"/>
          <w:sz w:val="14"/>
          <w:szCs w:val="14"/>
          <w:lang w:eastAsia="es-CO"/>
        </w:rPr>
        <w:t xml:space="preserve">Fuente: Departamento Administrativo Nacional de Estadística (DANE). </w:t>
      </w:r>
      <w:r w:rsidRPr="539F01B6">
        <w:rPr>
          <w:rFonts w:ascii="Arial" w:hAnsi="Arial" w:cs="Arial"/>
          <w:i/>
          <w:iCs/>
          <w:sz w:val="14"/>
          <w:szCs w:val="14"/>
          <w:lang w:eastAsia="es-CO"/>
        </w:rPr>
        <w:t xml:space="preserve">Boletín Técnico Importaciones (IMPO). </w:t>
      </w:r>
      <w:r w:rsidR="006D72C0">
        <w:rPr>
          <w:rFonts w:ascii="Arial" w:hAnsi="Arial" w:cs="Arial"/>
          <w:i/>
          <w:iCs/>
          <w:sz w:val="14"/>
          <w:szCs w:val="14"/>
          <w:lang w:eastAsia="es-CO"/>
        </w:rPr>
        <w:t>Marzo</w:t>
      </w:r>
      <w:r w:rsidRPr="539F01B6">
        <w:rPr>
          <w:rFonts w:ascii="Arial" w:hAnsi="Arial" w:cs="Arial"/>
          <w:i/>
          <w:iCs/>
          <w:sz w:val="14"/>
          <w:szCs w:val="14"/>
          <w:lang w:eastAsia="es-CO"/>
        </w:rPr>
        <w:t xml:space="preserve"> 2026. https://www.dane.gov.co/index.php/comunicados-y-boletines/comercio-exterior/importaciones</w:t>
      </w:r>
      <w:r w:rsidRPr="539F01B6">
        <w:rPr>
          <w:rFonts w:ascii="Arial" w:hAnsi="Arial" w:cs="Arial"/>
          <w:sz w:val="18"/>
          <w:szCs w:val="18"/>
        </w:rPr>
        <w:t xml:space="preserve"> </w:t>
      </w:r>
      <w:r w:rsidRPr="539F01B6">
        <w:rPr>
          <w:rFonts w:ascii="Arial" w:hAnsi="Arial" w:cs="Arial"/>
          <w:sz w:val="14"/>
          <w:szCs w:val="14"/>
          <w:lang w:eastAsia="es-CO"/>
        </w:rPr>
        <w:t xml:space="preserve">Fecha de consulta: </w:t>
      </w:r>
      <w:r w:rsidR="006D72C0">
        <w:rPr>
          <w:rFonts w:ascii="Arial" w:hAnsi="Arial" w:cs="Arial"/>
          <w:sz w:val="14"/>
          <w:szCs w:val="14"/>
          <w:lang w:eastAsia="es-CO"/>
        </w:rPr>
        <w:t>10</w:t>
      </w:r>
      <w:r w:rsidR="00594D40">
        <w:rPr>
          <w:rFonts w:ascii="Arial" w:hAnsi="Arial" w:cs="Arial"/>
          <w:sz w:val="14"/>
          <w:szCs w:val="14"/>
          <w:lang w:eastAsia="es-CO"/>
        </w:rPr>
        <w:t xml:space="preserve"> de </w:t>
      </w:r>
      <w:r w:rsidR="006D72C0">
        <w:rPr>
          <w:rFonts w:ascii="Arial" w:hAnsi="Arial" w:cs="Arial"/>
          <w:sz w:val="14"/>
          <w:szCs w:val="14"/>
          <w:lang w:eastAsia="es-CO"/>
        </w:rPr>
        <w:t>juni</w:t>
      </w:r>
      <w:r w:rsidR="00594D40">
        <w:rPr>
          <w:rFonts w:ascii="Arial" w:hAnsi="Arial" w:cs="Arial"/>
          <w:sz w:val="14"/>
          <w:szCs w:val="14"/>
          <w:lang w:eastAsia="es-CO"/>
        </w:rPr>
        <w:t>o</w:t>
      </w:r>
      <w:r w:rsidRPr="539F01B6" w:rsidR="00594D40">
        <w:rPr>
          <w:rFonts w:ascii="Arial" w:hAnsi="Arial" w:cs="Arial"/>
          <w:sz w:val="14"/>
          <w:szCs w:val="14"/>
          <w:lang w:eastAsia="es-CO"/>
        </w:rPr>
        <w:t xml:space="preserve"> de 2026</w:t>
      </w:r>
      <w:r w:rsidRPr="539F01B6">
        <w:rPr>
          <w:rFonts w:ascii="Arial" w:hAnsi="Arial" w:cs="Arial"/>
          <w:sz w:val="14"/>
          <w:szCs w:val="14"/>
          <w:lang w:eastAsia="es-CO"/>
        </w:rPr>
        <w:t>.</w:t>
      </w:r>
    </w:p>
    <w:p w:rsidR="539F01B6" w:rsidP="539F01B6" w:rsidRDefault="539F01B6" w14:paraId="7F9C36F6" w14:textId="6BA9EB32">
      <w:pPr>
        <w:jc w:val="both"/>
      </w:pPr>
    </w:p>
    <w:p w:rsidR="540305A6" w:rsidP="539F01B6" w:rsidRDefault="540305A6" w14:paraId="2C730BE6" w14:textId="20097214">
      <w:pPr>
        <w:jc w:val="both"/>
        <w:rPr>
          <w:rFonts w:ascii="Arial" w:hAnsi="Arial" w:cs="Arial"/>
          <w:sz w:val="21"/>
          <w:szCs w:val="21"/>
          <w:lang w:val="es-CO"/>
        </w:rPr>
      </w:pPr>
      <w:r w:rsidRPr="00B028ED">
        <w:rPr>
          <w:rFonts w:ascii="Arial" w:hAnsi="Arial" w:cs="Arial"/>
          <w:sz w:val="21"/>
          <w:szCs w:val="21"/>
          <w:lang w:val="es-CO"/>
        </w:rPr>
        <w:t xml:space="preserve">En el periodo enero - </w:t>
      </w:r>
      <w:r w:rsidR="00791D88">
        <w:rPr>
          <w:rFonts w:ascii="Arial" w:hAnsi="Arial" w:cs="Arial"/>
          <w:sz w:val="21"/>
          <w:szCs w:val="21"/>
          <w:lang w:val="es-CO"/>
        </w:rPr>
        <w:t>marz</w:t>
      </w:r>
      <w:r w:rsidRPr="00B028ED">
        <w:rPr>
          <w:rFonts w:ascii="Arial" w:hAnsi="Arial" w:cs="Arial"/>
          <w:sz w:val="21"/>
          <w:szCs w:val="21"/>
          <w:lang w:val="es-CO"/>
        </w:rPr>
        <w:t xml:space="preserve">o 2026, las importaciones colombianas fueron </w:t>
      </w:r>
      <w:r w:rsidRPr="00791D88" w:rsidR="00791D88">
        <w:rPr>
          <w:rFonts w:ascii="Arial" w:hAnsi="Arial" w:cs="Arial"/>
          <w:sz w:val="21"/>
          <w:szCs w:val="21"/>
          <w:lang w:val="es-CO"/>
        </w:rPr>
        <w:t>US$17.805,4 millones CIF y registraron un crecimiento de 9,6%, frente al mismo periodo de 2025.  En el periodo enero - marzo 2026 las importaciones del grupo de Manufacturas fueron de US$13.693,4 millones CIF y presentaron un crecimiento del 14,7%, en comparación con el mismo periodo de 2025, como resultado de las mayores compras de Maquinaria y equipo de transporte (26,6%) que contribuyó con 11,2 puntos porcentuales a la variación del grupo</w:t>
      </w:r>
      <w:r w:rsidRPr="00B028ED">
        <w:rPr>
          <w:rFonts w:ascii="Arial" w:hAnsi="Arial" w:cs="Arial"/>
          <w:sz w:val="21"/>
          <w:szCs w:val="21"/>
          <w:lang w:val="es-CO"/>
        </w:rPr>
        <w:t>.</w:t>
      </w:r>
    </w:p>
    <w:p w:rsidR="00791D88" w:rsidP="539F01B6" w:rsidRDefault="00791D88" w14:paraId="754D3AA1" w14:textId="77777777">
      <w:pPr>
        <w:jc w:val="both"/>
        <w:rPr>
          <w:rFonts w:ascii="Arial" w:hAnsi="Arial" w:cs="Arial"/>
          <w:sz w:val="21"/>
          <w:szCs w:val="21"/>
          <w:lang w:val="es-CO"/>
        </w:rPr>
      </w:pPr>
    </w:p>
    <w:p w:rsidR="00791D88" w:rsidP="539F01B6" w:rsidRDefault="00791D88" w14:paraId="5BFE3776" w14:textId="77777777">
      <w:pPr>
        <w:jc w:val="both"/>
        <w:rPr>
          <w:rFonts w:ascii="Arial" w:hAnsi="Arial" w:cs="Arial"/>
          <w:sz w:val="21"/>
          <w:szCs w:val="21"/>
          <w:lang w:val="es-CO"/>
        </w:rPr>
      </w:pPr>
    </w:p>
    <w:p w:rsidR="00791D88" w:rsidP="539F01B6" w:rsidRDefault="00791D88" w14:paraId="7013A361" w14:textId="77777777">
      <w:pPr>
        <w:jc w:val="both"/>
        <w:rPr>
          <w:rFonts w:ascii="Arial" w:hAnsi="Arial" w:cs="Arial"/>
          <w:sz w:val="21"/>
          <w:szCs w:val="21"/>
          <w:lang w:val="es-CO"/>
        </w:rPr>
      </w:pPr>
    </w:p>
    <w:p w:rsidRPr="00B028ED" w:rsidR="00791D88" w:rsidP="539F01B6" w:rsidRDefault="00791D88" w14:paraId="250E6E0C" w14:textId="77777777">
      <w:pPr>
        <w:jc w:val="both"/>
        <w:rPr>
          <w:rFonts w:ascii="Arial" w:hAnsi="Arial" w:cs="Arial"/>
          <w:sz w:val="21"/>
          <w:szCs w:val="21"/>
          <w:lang w:val="es-CO"/>
        </w:rPr>
      </w:pPr>
    </w:p>
    <w:p w:rsidRPr="00B028ED" w:rsidR="00B96129" w:rsidP="00D86FE0" w:rsidRDefault="00B96129" w14:paraId="14B302D7" w14:textId="77777777">
      <w:pPr>
        <w:jc w:val="both"/>
        <w:rPr>
          <w:rFonts w:ascii="Arial" w:hAnsi="Arial" w:eastAsia="Arial" w:cs="Arial"/>
          <w:sz w:val="21"/>
          <w:szCs w:val="21"/>
        </w:rPr>
      </w:pPr>
    </w:p>
    <w:p w:rsidRPr="00B028ED" w:rsidR="00313BA9" w:rsidP="00D86FE0" w:rsidRDefault="00AA4D48" w14:paraId="5E49A8CE" w14:textId="77777777">
      <w:pPr>
        <w:contextualSpacing/>
        <w:jc w:val="both"/>
        <w:rPr>
          <w:rFonts w:ascii="Arial" w:hAnsi="Arial" w:cs="Arial"/>
          <w:b/>
          <w:bCs/>
          <w:sz w:val="21"/>
          <w:szCs w:val="21"/>
        </w:rPr>
      </w:pPr>
      <w:r w:rsidRPr="00B028ED">
        <w:rPr>
          <w:rFonts w:ascii="Arial" w:hAnsi="Arial" w:cs="Arial"/>
          <w:b/>
          <w:bCs/>
          <w:sz w:val="21"/>
          <w:szCs w:val="21"/>
        </w:rPr>
        <w:t xml:space="preserve"> 3.1 </w:t>
      </w:r>
      <w:r w:rsidRPr="00B028ED" w:rsidR="00BC40DD">
        <w:rPr>
          <w:rFonts w:ascii="Arial" w:hAnsi="Arial" w:cs="Arial"/>
          <w:b/>
          <w:bCs/>
          <w:sz w:val="21"/>
          <w:szCs w:val="21"/>
        </w:rPr>
        <w:t>IPC</w:t>
      </w:r>
    </w:p>
    <w:p w:rsidRPr="00B028ED" w:rsidR="00D86FE0" w:rsidP="00D86FE0" w:rsidRDefault="00D86FE0" w14:paraId="79567F5C" w14:textId="77777777">
      <w:pPr>
        <w:contextualSpacing/>
        <w:jc w:val="both"/>
        <w:rPr>
          <w:rFonts w:ascii="Arial" w:hAnsi="Arial" w:cs="Arial"/>
          <w:b/>
          <w:bCs/>
          <w:sz w:val="21"/>
          <w:szCs w:val="21"/>
        </w:rPr>
      </w:pPr>
    </w:p>
    <w:p w:rsidRPr="00B028ED" w:rsidR="00FB1F3F" w:rsidP="5CB1E3AC" w:rsidRDefault="005B156B" w14:paraId="429CF06F" w14:textId="0F468201">
      <w:pPr>
        <w:spacing/>
        <w:contextualSpacing w:val="1"/>
        <w:jc w:val="both"/>
        <w:rPr>
          <w:rFonts w:ascii="Arial" w:hAnsi="Arial" w:eastAsia="Arial" w:cs="Arial"/>
          <w:sz w:val="21"/>
          <w:szCs w:val="21"/>
        </w:rPr>
      </w:pPr>
      <w:commentRangeStart w:id="946119495"/>
      <w:r w:rsidRPr="5CB1E3AC" w:rsidR="005B156B">
        <w:rPr>
          <w:rFonts w:ascii="Arial" w:hAnsi="Arial" w:eastAsia="Arial" w:cs="Arial"/>
          <w:sz w:val="21"/>
          <w:szCs w:val="21"/>
        </w:rPr>
        <w:t xml:space="preserve">De acuerdo con el índice de precios al consumidor, el DANE en su boletín técnico </w:t>
      </w:r>
      <w:r w:rsidRPr="5CB1E3AC" w:rsidR="00BC4C4C">
        <w:rPr>
          <w:rFonts w:ascii="Arial" w:hAnsi="Arial" w:eastAsia="Arial" w:cs="Arial"/>
          <w:sz w:val="21"/>
          <w:szCs w:val="21"/>
        </w:rPr>
        <w:t xml:space="preserve">en el mes de </w:t>
      </w:r>
      <w:r w:rsidRPr="5CB1E3AC" w:rsidR="5AEAA0C4">
        <w:rPr>
          <w:rFonts w:ascii="Arial" w:hAnsi="Arial" w:eastAsia="Arial" w:cs="Arial"/>
          <w:sz w:val="21"/>
          <w:szCs w:val="21"/>
        </w:rPr>
        <w:t xml:space="preserve">marzo </w:t>
      </w:r>
      <w:r w:rsidRPr="5CB1E3AC" w:rsidR="00BC4C4C">
        <w:rPr>
          <w:rFonts w:ascii="Arial" w:hAnsi="Arial" w:eastAsia="Arial" w:cs="Arial"/>
          <w:sz w:val="21"/>
          <w:szCs w:val="21"/>
        </w:rPr>
        <w:t>de 202</w:t>
      </w:r>
      <w:r w:rsidRPr="5CB1E3AC" w:rsidR="2A11927B">
        <w:rPr>
          <w:rFonts w:ascii="Arial" w:hAnsi="Arial" w:eastAsia="Arial" w:cs="Arial"/>
          <w:sz w:val="21"/>
          <w:szCs w:val="21"/>
        </w:rPr>
        <w:t>6</w:t>
      </w:r>
      <w:r w:rsidRPr="5CB1E3AC" w:rsidR="00BC4C4C">
        <w:rPr>
          <w:rFonts w:ascii="Arial" w:hAnsi="Arial" w:eastAsia="Arial" w:cs="Arial"/>
          <w:sz w:val="21"/>
          <w:szCs w:val="21"/>
        </w:rPr>
        <w:t xml:space="preserve">, </w:t>
      </w:r>
      <w:r w:rsidRPr="5CB1E3AC" w:rsidR="142314D1">
        <w:rPr>
          <w:rFonts w:ascii="Arial" w:hAnsi="Arial" w:eastAsia="Arial" w:cs="Arial"/>
          <w:sz w:val="21"/>
          <w:szCs w:val="21"/>
        </w:rPr>
        <w:t>el IPC registró una variación de 0,78% en comparación con febrero de 2026, ocho divisiones se ubicaron por encima del promedio nacional (0,78%): Información y comunicación (2,96%), Alimentos y bebidas no alcohólicas (1,27%), Salud (1,06%), Bienes y servicios diversos (0,95%), Muebles, artículos para el hogar y para la conservación ordinaria del hogar (0,90%), Recreación y cultura (0,88%), Restaurantes y hoteles (0,86%) y por último,</w:t>
      </w:r>
      <w:r w:rsidRPr="5CB1E3AC" w:rsidR="142314D1">
        <w:rPr>
          <w:rFonts w:ascii="Arial" w:hAnsi="Arial" w:eastAsia="Arial" w:cs="Arial"/>
          <w:sz w:val="22"/>
          <w:szCs w:val="22"/>
        </w:rPr>
        <w:t xml:space="preserve"> </w:t>
      </w:r>
      <w:r w:rsidRPr="5CB1E3AC" w:rsidR="142314D1">
        <w:rPr>
          <w:rFonts w:ascii="Arial" w:hAnsi="Arial" w:eastAsia="Arial" w:cs="Arial"/>
          <w:sz w:val="21"/>
          <w:szCs w:val="21"/>
        </w:rPr>
        <w:t xml:space="preserve">Alojamiento, agua, electricidad, gas y otros combustibles (0,85%). Por debajo se ubicaron: Prendas de vestir y calzado (0,19%), Educación (0,17%), Transporte (-0,22%) </w:t>
      </w:r>
      <w:r w:rsidRPr="5CB1E3AC" w:rsidR="142314D1">
        <w:rPr>
          <w:rFonts w:ascii="Arial" w:hAnsi="Arial" w:eastAsia="Arial" w:cs="Arial"/>
          <w:sz w:val="21"/>
          <w:szCs w:val="21"/>
        </w:rPr>
        <w:t>y</w:t>
      </w:r>
      <w:r w:rsidRPr="5CB1E3AC" w:rsidR="142314D1">
        <w:rPr>
          <w:rFonts w:ascii="Arial" w:hAnsi="Arial" w:eastAsia="Arial" w:cs="Arial"/>
          <w:sz w:val="21"/>
          <w:szCs w:val="21"/>
        </w:rPr>
        <w:t xml:space="preserve"> por último, Bebidas alcohólicas y tabaco (-0,37%)</w:t>
      </w:r>
      <w:r w:rsidRPr="5CB1E3AC" w:rsidR="2BBC0ED8">
        <w:rPr>
          <w:rFonts w:ascii="Arial" w:hAnsi="Arial" w:eastAsia="Arial" w:cs="Arial"/>
          <w:sz w:val="21"/>
          <w:szCs w:val="21"/>
        </w:rPr>
        <w:t>, como se muestra a continuación:</w:t>
      </w:r>
      <w:commentRangeEnd w:id="946119495"/>
      <w:r>
        <w:rPr>
          <w:rStyle w:val="CommentReference"/>
        </w:rPr>
        <w:commentReference w:id="946119495"/>
      </w:r>
    </w:p>
    <w:p w:rsidRPr="00B028ED" w:rsidR="5AFEBD85" w:rsidP="5AFEBD85" w:rsidRDefault="5AFEBD85" w14:paraId="1CEC4E4C" w14:textId="29FB2E37">
      <w:pPr>
        <w:contextualSpacing/>
        <w:jc w:val="both"/>
        <w:rPr>
          <w:rFonts w:ascii="Arial" w:hAnsi="Arial" w:eastAsia="Arial" w:cs="Arial"/>
          <w:sz w:val="21"/>
          <w:szCs w:val="21"/>
        </w:rPr>
      </w:pPr>
    </w:p>
    <w:p w:rsidRPr="00B028ED" w:rsidR="0966F317" w:rsidP="539F01B6" w:rsidRDefault="507A286E" w14:paraId="6D3FE48F" w14:textId="1EA97DEA">
      <w:pPr>
        <w:contextualSpacing/>
        <w:jc w:val="both"/>
        <w:rPr>
          <w:rFonts w:ascii="Arial" w:hAnsi="Arial" w:eastAsia="Arial" w:cs="Arial"/>
          <w:sz w:val="21"/>
          <w:szCs w:val="21"/>
        </w:rPr>
      </w:pPr>
      <w:r w:rsidRPr="00B028ED">
        <w:rPr>
          <w:rFonts w:ascii="Arial" w:hAnsi="Arial" w:eastAsia="Arial" w:cs="Arial"/>
          <w:sz w:val="21"/>
          <w:szCs w:val="21"/>
        </w:rPr>
        <w:t xml:space="preserve">Tabla </w:t>
      </w:r>
      <w:r w:rsidRPr="00B028ED" w:rsidR="120901A1">
        <w:rPr>
          <w:rFonts w:ascii="Arial" w:hAnsi="Arial" w:eastAsia="Arial" w:cs="Arial"/>
          <w:sz w:val="21"/>
          <w:szCs w:val="21"/>
        </w:rPr>
        <w:t>10</w:t>
      </w:r>
      <w:r w:rsidRPr="00B028ED">
        <w:rPr>
          <w:rFonts w:ascii="Arial" w:hAnsi="Arial" w:eastAsia="Arial" w:cs="Arial"/>
          <w:sz w:val="21"/>
          <w:szCs w:val="21"/>
        </w:rPr>
        <w:t xml:space="preserve"> del Sector</w:t>
      </w:r>
    </w:p>
    <w:p w:rsidRPr="00B028ED" w:rsidR="5AFEBD85" w:rsidP="5AFEBD85" w:rsidRDefault="5AFEBD85" w14:paraId="2154CEE5" w14:textId="622D1663">
      <w:pPr>
        <w:contextualSpacing/>
        <w:jc w:val="both"/>
        <w:rPr>
          <w:rFonts w:ascii="Arial" w:hAnsi="Arial" w:eastAsia="Arial" w:cs="Arial"/>
          <w:sz w:val="21"/>
          <w:szCs w:val="21"/>
        </w:rPr>
      </w:pPr>
    </w:p>
    <w:p w:rsidRPr="00B028ED" w:rsidR="3444470E" w:rsidP="5AFEBD85" w:rsidRDefault="3444470E" w14:paraId="1DB49DC1" w14:textId="7646B60B">
      <w:pPr>
        <w:jc w:val="both"/>
        <w:rPr>
          <w:sz w:val="21"/>
          <w:szCs w:val="21"/>
        </w:rPr>
      </w:pPr>
      <w:r w:rsidRPr="00B028ED">
        <w:rPr>
          <w:sz w:val="21"/>
          <w:szCs w:val="21"/>
        </w:rPr>
        <w:t xml:space="preserve">           </w:t>
      </w:r>
      <w:r w:rsidRPr="006C3083" w:rsidR="006C3083">
        <w:rPr>
          <w:noProof/>
          <w:sz w:val="21"/>
          <w:szCs w:val="21"/>
          <w:lang w:val="es-CO" w:eastAsia="es-CO"/>
        </w:rPr>
        <w:drawing>
          <wp:inline distT="0" distB="0" distL="0" distR="0" wp14:anchorId="11C2BE95" wp14:editId="367F8CF2">
            <wp:extent cx="4870939" cy="2168083"/>
            <wp:effectExtent l="0" t="0" r="6350" b="3810"/>
            <wp:docPr id="9902468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246867" name=""/>
                    <pic:cNvPicPr/>
                  </pic:nvPicPr>
                  <pic:blipFill>
                    <a:blip r:embed="rId29"/>
                    <a:stretch>
                      <a:fillRect/>
                    </a:stretch>
                  </pic:blipFill>
                  <pic:spPr>
                    <a:xfrm>
                      <a:off x="0" y="0"/>
                      <a:ext cx="4876839" cy="2170709"/>
                    </a:xfrm>
                    <a:prstGeom prst="rect">
                      <a:avLst/>
                    </a:prstGeom>
                  </pic:spPr>
                </pic:pic>
              </a:graphicData>
            </a:graphic>
          </wp:inline>
        </w:drawing>
      </w:r>
      <w:r w:rsidRPr="00B028ED" w:rsidR="14AA3832">
        <w:rPr>
          <w:sz w:val="21"/>
          <w:szCs w:val="21"/>
        </w:rPr>
        <w:t xml:space="preserve">   </w:t>
      </w:r>
    </w:p>
    <w:p w:rsidRPr="00B028ED" w:rsidR="740E3A47" w:rsidP="5AFEBD85" w:rsidRDefault="740E3A47" w14:paraId="65E85151" w14:textId="1E5CCE13">
      <w:pPr>
        <w:spacing w:after="160" w:line="259" w:lineRule="auto"/>
        <w:jc w:val="both"/>
        <w:rPr>
          <w:rFonts w:ascii="Arial" w:hAnsi="Arial" w:eastAsia="Arial" w:cs="Arial"/>
          <w:sz w:val="14"/>
          <w:szCs w:val="21"/>
          <w:highlight w:val="yellow"/>
        </w:rPr>
      </w:pPr>
      <w:r w:rsidRPr="00B028ED">
        <w:rPr>
          <w:rFonts w:ascii="Arial" w:hAnsi="Arial" w:cs="Arial"/>
          <w:b/>
          <w:bCs/>
          <w:sz w:val="14"/>
          <w:szCs w:val="21"/>
        </w:rPr>
        <w:t>Fuente</w:t>
      </w:r>
      <w:r w:rsidRPr="00B028ED">
        <w:rPr>
          <w:rFonts w:ascii="Arial" w:hAnsi="Arial" w:cs="Arial"/>
          <w:sz w:val="14"/>
          <w:szCs w:val="21"/>
        </w:rPr>
        <w:t>: Departamento Administrativo Nacional de Estadística (DANE). Boletín Técnico Índice de Precios al Consumidor (IPC). Ma</w:t>
      </w:r>
      <w:r w:rsidR="006C3083">
        <w:rPr>
          <w:rFonts w:ascii="Arial" w:hAnsi="Arial" w:cs="Arial"/>
          <w:sz w:val="14"/>
          <w:szCs w:val="21"/>
        </w:rPr>
        <w:t>y</w:t>
      </w:r>
      <w:r w:rsidRPr="00B028ED">
        <w:rPr>
          <w:rFonts w:ascii="Arial" w:hAnsi="Arial" w:cs="Arial"/>
          <w:sz w:val="14"/>
          <w:szCs w:val="21"/>
        </w:rPr>
        <w:t xml:space="preserve">o 2026. </w:t>
      </w:r>
      <w:proofErr w:type="gramStart"/>
      <w:r w:rsidRPr="00B028ED">
        <w:rPr>
          <w:rFonts w:ascii="Arial" w:hAnsi="Arial" w:cs="Arial"/>
          <w:sz w:val="14"/>
          <w:szCs w:val="21"/>
        </w:rPr>
        <w:t>https://www.dane.gov.co/index.php/estadisticas-por-tema/precios-y-costos/indice-de-precios-al-consumidor-ipc/ipc-informacion-tecnica  Fecha</w:t>
      </w:r>
      <w:proofErr w:type="gramEnd"/>
      <w:r w:rsidRPr="00B028ED">
        <w:rPr>
          <w:rFonts w:ascii="Arial" w:hAnsi="Arial" w:cs="Arial"/>
          <w:sz w:val="14"/>
          <w:szCs w:val="21"/>
        </w:rPr>
        <w:t xml:space="preserve"> de consulta: </w:t>
      </w:r>
      <w:r w:rsidR="006C3083">
        <w:rPr>
          <w:rFonts w:ascii="Arial" w:hAnsi="Arial" w:cs="Arial"/>
          <w:sz w:val="14"/>
          <w:szCs w:val="21"/>
        </w:rPr>
        <w:t>10</w:t>
      </w:r>
      <w:r w:rsidRPr="00B028ED">
        <w:rPr>
          <w:rFonts w:ascii="Arial" w:hAnsi="Arial" w:cs="Arial"/>
          <w:sz w:val="14"/>
          <w:szCs w:val="21"/>
        </w:rPr>
        <w:t xml:space="preserve"> </w:t>
      </w:r>
      <w:proofErr w:type="spellStart"/>
      <w:r w:rsidR="006C3083">
        <w:rPr>
          <w:rFonts w:ascii="Arial" w:hAnsi="Arial" w:cs="Arial"/>
          <w:sz w:val="14"/>
          <w:szCs w:val="21"/>
        </w:rPr>
        <w:t>jun</w:t>
      </w:r>
      <w:r w:rsidR="001428CA">
        <w:rPr>
          <w:rFonts w:ascii="Arial" w:hAnsi="Arial" w:cs="Arial"/>
          <w:sz w:val="14"/>
          <w:szCs w:val="21"/>
        </w:rPr>
        <w:t>o</w:t>
      </w:r>
      <w:proofErr w:type="spellEnd"/>
      <w:r w:rsidRPr="00B028ED">
        <w:rPr>
          <w:rFonts w:ascii="Arial" w:hAnsi="Arial" w:cs="Arial"/>
          <w:sz w:val="14"/>
          <w:szCs w:val="21"/>
        </w:rPr>
        <w:t xml:space="preserve"> de 2026.</w:t>
      </w:r>
    </w:p>
    <w:p w:rsidRPr="00B028ED" w:rsidR="1374DF4B" w:rsidP="5AFEBD85" w:rsidRDefault="1374DF4B" w14:paraId="59549185" w14:textId="1B7C4252">
      <w:pPr>
        <w:contextualSpacing/>
        <w:jc w:val="both"/>
        <w:rPr>
          <w:rFonts w:ascii="Arial" w:hAnsi="Arial" w:eastAsia="Arial" w:cs="Arial"/>
          <w:sz w:val="21"/>
          <w:szCs w:val="21"/>
        </w:rPr>
      </w:pPr>
      <w:r w:rsidRPr="00B028ED">
        <w:rPr>
          <w:rFonts w:ascii="Arial" w:hAnsi="Arial" w:eastAsia="Arial" w:cs="Arial"/>
          <w:sz w:val="21"/>
          <w:szCs w:val="21"/>
        </w:rPr>
        <w:t xml:space="preserve">Para el mes de </w:t>
      </w:r>
      <w:r w:rsidRPr="00A0036F" w:rsidR="00A0036F">
        <w:rPr>
          <w:rFonts w:ascii="Arial" w:hAnsi="Arial" w:eastAsia="Arial" w:cs="Arial"/>
          <w:sz w:val="21"/>
          <w:szCs w:val="21"/>
        </w:rPr>
        <w:t xml:space="preserve">mayo de 2026 en comparación con abril de 2026, la variación de las subclases que más aportaron al índice total fueron: arriendo imputado (0,67%), combustibles para vehículos (2,34%), arriendo efectivo (0,69%), suministro de agua (2,38%), carne de res y derivados (1,36%), electricidad (1,04%), comidas en establecimientos de servicio a la mesa y autoservicio (0,33%), servicios relacionados con la copropiedad (1,25%), alcantarillado (2,66%) y frutas frescas (0,88%). Las subclases con aportes negativos a la variación fueron: tomate (-13,36%), plátanos (-5,54%), vehículo particular nuevo o usado (-0,31%), hortalizas y legumbres frescas (-1,26%) y naranjas (-6,36%) </w:t>
      </w:r>
      <w:r w:rsidRPr="00B028ED" w:rsidR="4FCDB280">
        <w:rPr>
          <w:rFonts w:ascii="Arial" w:hAnsi="Arial" w:eastAsia="Arial" w:cs="Arial"/>
          <w:sz w:val="21"/>
          <w:szCs w:val="21"/>
        </w:rPr>
        <w:t xml:space="preserve">como se muestra a continuación: </w:t>
      </w:r>
      <w:r w:rsidRPr="00B028ED" w:rsidR="784336DE">
        <w:rPr>
          <w:rFonts w:ascii="Arial" w:hAnsi="Arial" w:eastAsia="Arial" w:cs="Arial"/>
          <w:sz w:val="21"/>
          <w:szCs w:val="21"/>
        </w:rPr>
        <w:t xml:space="preserve">  </w:t>
      </w:r>
    </w:p>
    <w:p w:rsidRPr="00B028ED" w:rsidR="5AFEBD85" w:rsidP="5AFEBD85" w:rsidRDefault="5AFEBD85" w14:paraId="0C2702BB" w14:textId="3EC51123">
      <w:pPr>
        <w:contextualSpacing/>
        <w:jc w:val="both"/>
        <w:rPr>
          <w:rFonts w:ascii="Arial" w:hAnsi="Arial" w:eastAsia="Arial" w:cs="Arial"/>
          <w:sz w:val="21"/>
          <w:szCs w:val="21"/>
        </w:rPr>
      </w:pPr>
    </w:p>
    <w:p w:rsidRPr="00B028ED" w:rsidR="784336DE" w:rsidP="539F01B6" w:rsidRDefault="1D655DED" w14:paraId="393302C7" w14:textId="2CF1013B">
      <w:pPr>
        <w:contextualSpacing/>
        <w:jc w:val="both"/>
        <w:rPr>
          <w:rFonts w:ascii="Arial" w:hAnsi="Arial" w:eastAsia="Arial" w:cs="Arial"/>
          <w:sz w:val="21"/>
          <w:szCs w:val="21"/>
        </w:rPr>
      </w:pPr>
      <w:r w:rsidRPr="00B028ED">
        <w:rPr>
          <w:rFonts w:ascii="Arial" w:hAnsi="Arial" w:eastAsia="Arial" w:cs="Arial"/>
          <w:sz w:val="21"/>
          <w:szCs w:val="21"/>
        </w:rPr>
        <w:t xml:space="preserve">Tabla </w:t>
      </w:r>
      <w:r w:rsidRPr="00B028ED" w:rsidR="57B933D1">
        <w:rPr>
          <w:rFonts w:ascii="Arial" w:hAnsi="Arial" w:eastAsia="Arial" w:cs="Arial"/>
          <w:sz w:val="21"/>
          <w:szCs w:val="21"/>
        </w:rPr>
        <w:t>1</w:t>
      </w:r>
      <w:r w:rsidRPr="00B028ED" w:rsidR="0D99EB10">
        <w:rPr>
          <w:rFonts w:ascii="Arial" w:hAnsi="Arial" w:eastAsia="Arial" w:cs="Arial"/>
          <w:sz w:val="21"/>
          <w:szCs w:val="21"/>
        </w:rPr>
        <w:t>1</w:t>
      </w:r>
      <w:r w:rsidRPr="00B028ED">
        <w:rPr>
          <w:rFonts w:ascii="Arial" w:hAnsi="Arial" w:eastAsia="Arial" w:cs="Arial"/>
          <w:sz w:val="21"/>
          <w:szCs w:val="21"/>
        </w:rPr>
        <w:t xml:space="preserve"> del Sector</w:t>
      </w:r>
    </w:p>
    <w:p w:rsidRPr="00B028ED" w:rsidR="5AFEBD85" w:rsidP="5AFEBD85" w:rsidRDefault="5AFEBD85" w14:paraId="5E482D0C" w14:textId="4836C68D">
      <w:pPr>
        <w:contextualSpacing/>
        <w:jc w:val="both"/>
        <w:rPr>
          <w:rFonts w:ascii="Arial" w:hAnsi="Arial" w:eastAsia="Arial" w:cs="Arial"/>
          <w:sz w:val="21"/>
          <w:szCs w:val="21"/>
        </w:rPr>
      </w:pPr>
    </w:p>
    <w:p w:rsidR="00A0036F" w:rsidP="1B198F3E" w:rsidRDefault="00A0036F" w14:paraId="51EAC24E" w14:textId="10949B1B">
      <w:pPr>
        <w:spacing w:after="160" w:line="259" w:lineRule="auto"/>
        <w:contextualSpacing/>
        <w:jc w:val="both"/>
        <w:rPr>
          <w:noProof/>
          <w:lang w:val="es-CO" w:eastAsia="es-CO"/>
        </w:rPr>
      </w:pPr>
      <w:r w:rsidRPr="00A0036F">
        <w:rPr>
          <w:noProof/>
          <w:lang w:val="es-CO" w:eastAsia="es-CO"/>
        </w:rPr>
        <w:drawing>
          <wp:inline distT="0" distB="0" distL="0" distR="0" wp14:anchorId="300F0C43" wp14:editId="059EBC1E">
            <wp:extent cx="5760720" cy="2355850"/>
            <wp:effectExtent l="0" t="0" r="0" b="6350"/>
            <wp:docPr id="2664350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35026" name=""/>
                    <pic:cNvPicPr/>
                  </pic:nvPicPr>
                  <pic:blipFill>
                    <a:blip r:embed="rId30"/>
                    <a:stretch>
                      <a:fillRect/>
                    </a:stretch>
                  </pic:blipFill>
                  <pic:spPr>
                    <a:xfrm>
                      <a:off x="0" y="0"/>
                      <a:ext cx="5760720" cy="2355850"/>
                    </a:xfrm>
                    <a:prstGeom prst="rect">
                      <a:avLst/>
                    </a:prstGeom>
                  </pic:spPr>
                </pic:pic>
              </a:graphicData>
            </a:graphic>
          </wp:inline>
        </w:drawing>
      </w:r>
    </w:p>
    <w:p w:rsidRPr="00B028ED" w:rsidR="784336DE" w:rsidP="1B198F3E" w:rsidRDefault="0AAF5CC6" w14:paraId="238D9E39" w14:textId="23E260D4">
      <w:pPr>
        <w:spacing w:after="160" w:line="259" w:lineRule="auto"/>
        <w:contextualSpacing/>
        <w:jc w:val="both"/>
        <w:rPr>
          <w:rFonts w:ascii="Arial" w:hAnsi="Arial" w:eastAsia="Arial" w:cs="Arial"/>
          <w:sz w:val="20"/>
          <w:szCs w:val="22"/>
          <w:highlight w:val="yellow"/>
        </w:rPr>
      </w:pPr>
      <w:r w:rsidRPr="00B028ED">
        <w:rPr>
          <w:rFonts w:ascii="Arial" w:hAnsi="Arial" w:cs="Arial"/>
          <w:b/>
          <w:bCs/>
          <w:sz w:val="14"/>
          <w:szCs w:val="16"/>
        </w:rPr>
        <w:t>Fuente</w:t>
      </w:r>
      <w:r w:rsidRPr="00B028ED">
        <w:rPr>
          <w:rFonts w:ascii="Arial" w:hAnsi="Arial" w:cs="Arial"/>
          <w:sz w:val="14"/>
          <w:szCs w:val="16"/>
        </w:rPr>
        <w:t>: Departamento Administrativo Nacional de Estadística (DANE). Boletín Técnico Índice de Precios al Consumidor (IPC). Ma</w:t>
      </w:r>
      <w:r w:rsidR="00A0036F">
        <w:rPr>
          <w:rFonts w:ascii="Arial" w:hAnsi="Arial" w:cs="Arial"/>
          <w:sz w:val="14"/>
          <w:szCs w:val="16"/>
        </w:rPr>
        <w:t>y</w:t>
      </w:r>
      <w:r w:rsidRPr="00B028ED">
        <w:rPr>
          <w:rFonts w:ascii="Arial" w:hAnsi="Arial" w:cs="Arial"/>
          <w:sz w:val="14"/>
          <w:szCs w:val="16"/>
        </w:rPr>
        <w:t xml:space="preserve">o 2026. </w:t>
      </w:r>
      <w:proofErr w:type="gramStart"/>
      <w:r w:rsidRPr="00B028ED">
        <w:rPr>
          <w:rFonts w:ascii="Arial" w:hAnsi="Arial" w:cs="Arial"/>
          <w:sz w:val="14"/>
          <w:szCs w:val="16"/>
        </w:rPr>
        <w:t>https://www.dane.gov.co/index.php/estadisticas-por-tema/precios-y-costos/indice-de-precios-al-consumidor-ipc/ipc-informacion-tecnica  Fecha</w:t>
      </w:r>
      <w:proofErr w:type="gramEnd"/>
      <w:r w:rsidRPr="00B028ED">
        <w:rPr>
          <w:rFonts w:ascii="Arial" w:hAnsi="Arial" w:cs="Arial"/>
          <w:sz w:val="14"/>
          <w:szCs w:val="16"/>
        </w:rPr>
        <w:t xml:space="preserve"> de consulta: </w:t>
      </w:r>
      <w:r w:rsidR="00A0036F">
        <w:rPr>
          <w:rFonts w:ascii="Arial" w:hAnsi="Arial" w:cs="Arial"/>
          <w:sz w:val="14"/>
          <w:szCs w:val="21"/>
        </w:rPr>
        <w:t>10</w:t>
      </w:r>
      <w:r w:rsidRPr="00B028ED" w:rsidR="001428CA">
        <w:rPr>
          <w:rFonts w:ascii="Arial" w:hAnsi="Arial" w:cs="Arial"/>
          <w:sz w:val="14"/>
          <w:szCs w:val="21"/>
        </w:rPr>
        <w:t xml:space="preserve"> </w:t>
      </w:r>
      <w:r w:rsidR="00A0036F">
        <w:rPr>
          <w:rFonts w:ascii="Arial" w:hAnsi="Arial" w:cs="Arial"/>
          <w:sz w:val="14"/>
          <w:szCs w:val="21"/>
        </w:rPr>
        <w:t>juni</w:t>
      </w:r>
      <w:r w:rsidR="001428CA">
        <w:rPr>
          <w:rFonts w:ascii="Arial" w:hAnsi="Arial" w:cs="Arial"/>
          <w:sz w:val="14"/>
          <w:szCs w:val="21"/>
        </w:rPr>
        <w:t>o</w:t>
      </w:r>
      <w:r w:rsidRPr="00B028ED" w:rsidR="001428CA">
        <w:rPr>
          <w:rFonts w:ascii="Arial" w:hAnsi="Arial" w:cs="Arial"/>
          <w:sz w:val="14"/>
          <w:szCs w:val="21"/>
        </w:rPr>
        <w:t xml:space="preserve"> de 2026.</w:t>
      </w:r>
      <w:r w:rsidRPr="00B028ED">
        <w:rPr>
          <w:rFonts w:ascii="Arial" w:hAnsi="Arial" w:cs="Arial"/>
          <w:sz w:val="14"/>
          <w:szCs w:val="16"/>
        </w:rPr>
        <w:t>.</w:t>
      </w:r>
    </w:p>
    <w:p w:rsidR="784336DE" w:rsidP="5AFEBD85" w:rsidRDefault="784336DE" w14:paraId="680A95C3" w14:textId="7D5B5B36">
      <w:pPr>
        <w:contextualSpacing/>
        <w:jc w:val="both"/>
      </w:pPr>
    </w:p>
    <w:p w:rsidRPr="00B028ED" w:rsidR="7A6C018A" w:rsidP="5AFEBD85" w:rsidRDefault="7A6C018A" w14:paraId="78BF2692" w14:textId="247F2175">
      <w:pPr>
        <w:contextualSpacing/>
        <w:jc w:val="both"/>
        <w:rPr>
          <w:rFonts w:ascii="Arial" w:hAnsi="Arial" w:eastAsia="Arial" w:cs="Arial"/>
          <w:sz w:val="21"/>
          <w:szCs w:val="21"/>
        </w:rPr>
      </w:pPr>
      <w:r w:rsidRPr="00B028ED">
        <w:rPr>
          <w:rFonts w:ascii="Arial" w:hAnsi="Arial" w:eastAsia="Arial" w:cs="Arial"/>
          <w:sz w:val="21"/>
          <w:szCs w:val="21"/>
        </w:rPr>
        <w:t xml:space="preserve">En </w:t>
      </w:r>
      <w:r w:rsidRPr="00083F33" w:rsidR="00083F33">
        <w:rPr>
          <w:rFonts w:ascii="Arial" w:hAnsi="Arial" w:eastAsia="Arial" w:cs="Arial"/>
          <w:sz w:val="21"/>
          <w:szCs w:val="21"/>
        </w:rPr>
        <w:t xml:space="preserve">lo corrido del año (enero - mayo), seis divisiones de bienes y servicios se ubicaron por encima del promedio nacional (4,36%): Restaurantes y hoteles (6,02%), Educación (5,89%), Alimentos y bebidas no alcohólicas (5,85%), Muebles, artículos para el hogar y para la conservación ordinaria del hogar (5,32%), Salud (4,51%) </w:t>
      </w:r>
      <w:proofErr w:type="gramStart"/>
      <w:r w:rsidRPr="00083F33" w:rsidR="00083F33">
        <w:rPr>
          <w:rFonts w:ascii="Arial" w:hAnsi="Arial" w:eastAsia="Arial" w:cs="Arial"/>
          <w:sz w:val="21"/>
          <w:szCs w:val="21"/>
        </w:rPr>
        <w:t>y</w:t>
      </w:r>
      <w:proofErr w:type="gramEnd"/>
      <w:r w:rsidRPr="00083F33" w:rsidR="00083F33">
        <w:rPr>
          <w:rFonts w:ascii="Arial" w:hAnsi="Arial" w:eastAsia="Arial" w:cs="Arial"/>
          <w:sz w:val="21"/>
          <w:szCs w:val="21"/>
        </w:rPr>
        <w:t xml:space="preserve"> por último, Transporte (4,48%). El resto de las divisiones se ubicaron por debajo del promedio: Bienes y servicios diversos (3,66%), Bebidas alcohólicas y tabaco (3,39%), Información y comunicación (3,24%), Alojamiento, agua, electricidad, gas y otros combustibles (3,13%), Recreación y cultura (2,84%) </w:t>
      </w:r>
      <w:proofErr w:type="gramStart"/>
      <w:r w:rsidRPr="00083F33" w:rsidR="00083F33">
        <w:rPr>
          <w:rFonts w:ascii="Arial" w:hAnsi="Arial" w:eastAsia="Arial" w:cs="Arial"/>
          <w:sz w:val="21"/>
          <w:szCs w:val="21"/>
        </w:rPr>
        <w:t>y</w:t>
      </w:r>
      <w:proofErr w:type="gramEnd"/>
      <w:r w:rsidRPr="00083F33" w:rsidR="00083F33">
        <w:rPr>
          <w:rFonts w:ascii="Arial" w:hAnsi="Arial" w:eastAsia="Arial" w:cs="Arial"/>
          <w:sz w:val="21"/>
          <w:szCs w:val="21"/>
        </w:rPr>
        <w:t xml:space="preserve"> por último, Prendas de vestir y calzado (1,95%).</w:t>
      </w:r>
      <w:r w:rsidRPr="00B028ED">
        <w:rPr>
          <w:rFonts w:ascii="Arial" w:hAnsi="Arial" w:eastAsia="Arial" w:cs="Arial"/>
          <w:sz w:val="21"/>
          <w:szCs w:val="21"/>
        </w:rPr>
        <w:t xml:space="preserve">   </w:t>
      </w:r>
    </w:p>
    <w:p w:rsidRPr="00B028ED" w:rsidR="5AFEBD85" w:rsidP="5AFEBD85" w:rsidRDefault="5AFEBD85" w14:paraId="729B56E5" w14:textId="430B01A7">
      <w:pPr>
        <w:contextualSpacing/>
        <w:jc w:val="both"/>
        <w:rPr>
          <w:rFonts w:ascii="Arial" w:hAnsi="Arial" w:eastAsia="Arial" w:cs="Arial"/>
          <w:sz w:val="21"/>
          <w:szCs w:val="21"/>
        </w:rPr>
      </w:pPr>
    </w:p>
    <w:p w:rsidR="5AFEBD85" w:rsidP="5AFEBD85" w:rsidRDefault="5AFEBD85" w14:paraId="55F76B73" w14:textId="6BB6DD62">
      <w:pPr>
        <w:contextualSpacing/>
        <w:jc w:val="both"/>
        <w:rPr>
          <w:rFonts w:ascii="Arial" w:hAnsi="Arial" w:eastAsia="Arial" w:cs="Arial"/>
          <w:sz w:val="22"/>
          <w:szCs w:val="22"/>
        </w:rPr>
      </w:pPr>
    </w:p>
    <w:p w:rsidR="60D22A29" w:rsidP="539F01B6" w:rsidRDefault="1B35EE47" w14:paraId="28FDF30B" w14:textId="4F429FF8">
      <w:pPr>
        <w:contextualSpacing/>
        <w:jc w:val="both"/>
        <w:rPr>
          <w:rFonts w:ascii="Arial" w:hAnsi="Arial" w:eastAsia="Arial" w:cs="Arial"/>
          <w:sz w:val="22"/>
          <w:szCs w:val="22"/>
        </w:rPr>
      </w:pPr>
      <w:r w:rsidRPr="539F01B6">
        <w:rPr>
          <w:rFonts w:ascii="Arial" w:hAnsi="Arial" w:eastAsia="Arial" w:cs="Arial"/>
          <w:sz w:val="22"/>
          <w:szCs w:val="22"/>
        </w:rPr>
        <w:t xml:space="preserve">Tabla </w:t>
      </w:r>
      <w:r w:rsidRPr="539F01B6" w:rsidR="62A902AA">
        <w:rPr>
          <w:rFonts w:ascii="Arial" w:hAnsi="Arial" w:eastAsia="Arial" w:cs="Arial"/>
          <w:sz w:val="22"/>
          <w:szCs w:val="22"/>
        </w:rPr>
        <w:t>1</w:t>
      </w:r>
      <w:r w:rsidRPr="539F01B6" w:rsidR="660B341D">
        <w:rPr>
          <w:rFonts w:ascii="Arial" w:hAnsi="Arial" w:eastAsia="Arial" w:cs="Arial"/>
          <w:sz w:val="22"/>
          <w:szCs w:val="22"/>
        </w:rPr>
        <w:t>2</w:t>
      </w:r>
      <w:r w:rsidRPr="539F01B6">
        <w:rPr>
          <w:rFonts w:ascii="Arial" w:hAnsi="Arial" w:eastAsia="Arial" w:cs="Arial"/>
          <w:sz w:val="22"/>
          <w:szCs w:val="22"/>
        </w:rPr>
        <w:t xml:space="preserve"> Sector</w:t>
      </w:r>
    </w:p>
    <w:p w:rsidR="5AFEBD85" w:rsidP="5AFEBD85" w:rsidRDefault="5AFEBD85" w14:paraId="13D2DD6D" w14:textId="47E42321">
      <w:pPr>
        <w:contextualSpacing/>
        <w:jc w:val="both"/>
        <w:rPr>
          <w:rFonts w:ascii="Arial" w:hAnsi="Arial" w:eastAsia="Arial" w:cs="Arial"/>
          <w:sz w:val="22"/>
          <w:szCs w:val="22"/>
        </w:rPr>
      </w:pPr>
    </w:p>
    <w:p w:rsidR="00DD43EA" w:rsidP="5AFEBD85" w:rsidRDefault="00DD43EA" w14:paraId="4F9163B2" w14:textId="77777777">
      <w:pPr>
        <w:spacing w:after="160" w:line="259" w:lineRule="auto"/>
        <w:jc w:val="both"/>
        <w:rPr>
          <w:rFonts w:ascii="Arial" w:hAnsi="Arial" w:cs="Arial"/>
          <w:b/>
          <w:bCs/>
          <w:sz w:val="14"/>
          <w:szCs w:val="16"/>
        </w:rPr>
      </w:pPr>
      <w:r w:rsidRPr="00DD43EA">
        <w:rPr>
          <w:rFonts w:ascii="Arial" w:hAnsi="Arial" w:cs="Arial"/>
          <w:b/>
          <w:bCs/>
          <w:noProof/>
          <w:sz w:val="14"/>
          <w:szCs w:val="16"/>
          <w:lang w:val="es-CO" w:eastAsia="es-CO"/>
        </w:rPr>
        <w:drawing>
          <wp:inline distT="0" distB="0" distL="0" distR="0" wp14:anchorId="441C30F8" wp14:editId="2C0FF50E">
            <wp:extent cx="5193323" cy="2797021"/>
            <wp:effectExtent l="0" t="0" r="7620" b="3810"/>
            <wp:docPr id="4852200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220018" name=""/>
                    <pic:cNvPicPr/>
                  </pic:nvPicPr>
                  <pic:blipFill>
                    <a:blip r:embed="rId31"/>
                    <a:stretch>
                      <a:fillRect/>
                    </a:stretch>
                  </pic:blipFill>
                  <pic:spPr>
                    <a:xfrm>
                      <a:off x="0" y="0"/>
                      <a:ext cx="5197468" cy="2799253"/>
                    </a:xfrm>
                    <a:prstGeom prst="rect">
                      <a:avLst/>
                    </a:prstGeom>
                  </pic:spPr>
                </pic:pic>
              </a:graphicData>
            </a:graphic>
          </wp:inline>
        </w:drawing>
      </w:r>
      <w:r w:rsidRPr="00DD43EA">
        <w:rPr>
          <w:rFonts w:ascii="Arial" w:hAnsi="Arial" w:cs="Arial"/>
          <w:b/>
          <w:bCs/>
          <w:sz w:val="14"/>
          <w:szCs w:val="16"/>
        </w:rPr>
        <w:t xml:space="preserve"> </w:t>
      </w:r>
    </w:p>
    <w:p w:rsidR="0E75C2B3" w:rsidP="5AFEBD85" w:rsidRDefault="316F0100" w14:paraId="6EEB5F06" w14:textId="1A254E33">
      <w:pPr>
        <w:spacing w:after="160" w:line="259" w:lineRule="auto"/>
        <w:jc w:val="both"/>
        <w:rPr>
          <w:rFonts w:ascii="Arial" w:hAnsi="Arial" w:eastAsia="Arial" w:cs="Arial"/>
          <w:sz w:val="22"/>
          <w:szCs w:val="22"/>
          <w:highlight w:val="yellow"/>
        </w:rPr>
      </w:pPr>
      <w:r w:rsidRPr="00803236">
        <w:rPr>
          <w:rFonts w:ascii="Arial" w:hAnsi="Arial" w:cs="Arial"/>
          <w:b/>
          <w:bCs/>
          <w:sz w:val="14"/>
          <w:szCs w:val="16"/>
        </w:rPr>
        <w:t>Fuente</w:t>
      </w:r>
      <w:r w:rsidRPr="00803236">
        <w:rPr>
          <w:rFonts w:ascii="Arial" w:hAnsi="Arial" w:cs="Arial"/>
          <w:sz w:val="14"/>
          <w:szCs w:val="16"/>
        </w:rPr>
        <w:t>: Departamento Administrativo Nacional de Estadística (DANE). Boletín Técnico Índice de Precios al Consumidor (IPC). Ma</w:t>
      </w:r>
      <w:r w:rsidR="00DD43EA">
        <w:rPr>
          <w:rFonts w:ascii="Arial" w:hAnsi="Arial" w:cs="Arial"/>
          <w:sz w:val="14"/>
          <w:szCs w:val="16"/>
        </w:rPr>
        <w:t>y</w:t>
      </w:r>
      <w:r w:rsidRPr="00803236">
        <w:rPr>
          <w:rFonts w:ascii="Arial" w:hAnsi="Arial" w:cs="Arial"/>
          <w:sz w:val="14"/>
          <w:szCs w:val="16"/>
        </w:rPr>
        <w:t xml:space="preserve">o 2026. </w:t>
      </w:r>
      <w:proofErr w:type="gramStart"/>
      <w:r w:rsidRPr="00803236">
        <w:rPr>
          <w:rFonts w:ascii="Arial" w:hAnsi="Arial" w:cs="Arial"/>
          <w:sz w:val="14"/>
          <w:szCs w:val="16"/>
        </w:rPr>
        <w:t>https://www.dane.gov.co/index.php/estadisticas-por-tema/precios-y-costos/indice-de-precios-al-consumidor-ipc/ipc-informacion-tecnica  Fecha</w:t>
      </w:r>
      <w:proofErr w:type="gramEnd"/>
      <w:r w:rsidRPr="00803236">
        <w:rPr>
          <w:rFonts w:ascii="Arial" w:hAnsi="Arial" w:cs="Arial"/>
          <w:sz w:val="14"/>
          <w:szCs w:val="16"/>
        </w:rPr>
        <w:t xml:space="preserve"> de consulta: </w:t>
      </w:r>
      <w:r w:rsidR="00DD43EA">
        <w:rPr>
          <w:rFonts w:ascii="Arial" w:hAnsi="Arial" w:cs="Arial"/>
          <w:sz w:val="14"/>
          <w:szCs w:val="21"/>
        </w:rPr>
        <w:t>10 juni</w:t>
      </w:r>
      <w:r w:rsidR="001428CA">
        <w:rPr>
          <w:rFonts w:ascii="Arial" w:hAnsi="Arial" w:cs="Arial"/>
          <w:sz w:val="14"/>
          <w:szCs w:val="21"/>
        </w:rPr>
        <w:t>o</w:t>
      </w:r>
      <w:r w:rsidRPr="00B028ED" w:rsidR="001428CA">
        <w:rPr>
          <w:rFonts w:ascii="Arial" w:hAnsi="Arial" w:cs="Arial"/>
          <w:sz w:val="14"/>
          <w:szCs w:val="21"/>
        </w:rPr>
        <w:t xml:space="preserve"> de 2026.</w:t>
      </w:r>
      <w:r w:rsidRPr="5AFEBD85">
        <w:rPr>
          <w:rFonts w:ascii="Arial" w:hAnsi="Arial" w:cs="Arial"/>
          <w:sz w:val="16"/>
          <w:szCs w:val="16"/>
        </w:rPr>
        <w:t>.</w:t>
      </w:r>
    </w:p>
    <w:p w:rsidRPr="00803236" w:rsidR="539F01B6" w:rsidP="539F01B6" w:rsidRDefault="23B7DD01" w14:paraId="010F12D2" w14:textId="49D1F243">
      <w:pPr>
        <w:spacing w:after="160" w:line="259" w:lineRule="auto"/>
        <w:jc w:val="both"/>
        <w:rPr>
          <w:rFonts w:ascii="Arial" w:hAnsi="Arial" w:eastAsia="Arial" w:cs="Arial"/>
          <w:sz w:val="21"/>
          <w:szCs w:val="21"/>
        </w:rPr>
      </w:pPr>
      <w:r w:rsidRPr="00803236">
        <w:rPr>
          <w:rFonts w:ascii="Arial" w:hAnsi="Arial" w:eastAsia="Arial" w:cs="Arial"/>
          <w:sz w:val="21"/>
          <w:szCs w:val="21"/>
        </w:rPr>
        <w:t xml:space="preserve">Por </w:t>
      </w:r>
      <w:proofErr w:type="gramStart"/>
      <w:r w:rsidRPr="00803236">
        <w:rPr>
          <w:rFonts w:ascii="Arial" w:hAnsi="Arial" w:eastAsia="Arial" w:cs="Arial"/>
          <w:sz w:val="21"/>
          <w:szCs w:val="21"/>
        </w:rPr>
        <w:t>último</w:t>
      </w:r>
      <w:proofErr w:type="gramEnd"/>
      <w:r w:rsidRPr="00803236">
        <w:rPr>
          <w:rFonts w:ascii="Arial" w:hAnsi="Arial" w:eastAsia="Arial" w:cs="Arial"/>
          <w:sz w:val="21"/>
          <w:szCs w:val="21"/>
        </w:rPr>
        <w:t xml:space="preserve"> para el </w:t>
      </w:r>
      <w:proofErr w:type="spellStart"/>
      <w:r w:rsidRPr="00803236">
        <w:rPr>
          <w:rFonts w:ascii="Arial" w:hAnsi="Arial" w:eastAsia="Arial" w:cs="Arial"/>
          <w:sz w:val="21"/>
          <w:szCs w:val="21"/>
        </w:rPr>
        <w:t>analisis</w:t>
      </w:r>
      <w:proofErr w:type="spellEnd"/>
      <w:r w:rsidRPr="00803236">
        <w:rPr>
          <w:rFonts w:ascii="Arial" w:hAnsi="Arial" w:eastAsia="Arial" w:cs="Arial"/>
          <w:sz w:val="21"/>
          <w:szCs w:val="21"/>
        </w:rPr>
        <w:t xml:space="preserve"> del </w:t>
      </w:r>
      <w:r w:rsidRPr="00415346" w:rsidR="00415346">
        <w:rPr>
          <w:rFonts w:ascii="Arial" w:hAnsi="Arial" w:eastAsia="Arial" w:cs="Arial"/>
          <w:sz w:val="21"/>
          <w:szCs w:val="21"/>
        </w:rPr>
        <w:t xml:space="preserve">el IPC registró una variación de 5,84% en comparación con mayo de 2025. En el último año, las divisiones Restaurantes y hoteles (9,62%), Salud (8,35%), Educación (7,58%), Bebidas alcohólicas y tabaco (6,78%), Muebles, artículos para el hogar y para la conservación ordinaria del hogar (6,16%), Bienes y servicios diversos (6,05%) </w:t>
      </w:r>
      <w:proofErr w:type="gramStart"/>
      <w:r w:rsidRPr="00415346" w:rsidR="00415346">
        <w:rPr>
          <w:rFonts w:ascii="Arial" w:hAnsi="Arial" w:eastAsia="Arial" w:cs="Arial"/>
          <w:sz w:val="21"/>
          <w:szCs w:val="21"/>
        </w:rPr>
        <w:t>y</w:t>
      </w:r>
      <w:proofErr w:type="gramEnd"/>
      <w:r w:rsidRPr="00415346" w:rsidR="00415346">
        <w:rPr>
          <w:rFonts w:ascii="Arial" w:hAnsi="Arial" w:eastAsia="Arial" w:cs="Arial"/>
          <w:sz w:val="21"/>
          <w:szCs w:val="21"/>
        </w:rPr>
        <w:t xml:space="preserve"> por último, Alimentos y bebidas no alcohólicas (6,04%) se ubicaron por encima del promedio nacional (5,84%). Entre tanto, las divisiones Transporte (5,67%), Información y comunicación (5,30%), Alojamiento, agua, electricidad, gas y otros combustibles (4,50%), Recreación y cultura (3,84%) </w:t>
      </w:r>
      <w:proofErr w:type="gramStart"/>
      <w:r w:rsidRPr="00415346" w:rsidR="00415346">
        <w:rPr>
          <w:rFonts w:ascii="Arial" w:hAnsi="Arial" w:eastAsia="Arial" w:cs="Arial"/>
          <w:sz w:val="21"/>
          <w:szCs w:val="21"/>
        </w:rPr>
        <w:t>y</w:t>
      </w:r>
      <w:proofErr w:type="gramEnd"/>
      <w:r w:rsidRPr="00415346" w:rsidR="00415346">
        <w:rPr>
          <w:rFonts w:ascii="Arial" w:hAnsi="Arial" w:eastAsia="Arial" w:cs="Arial"/>
          <w:sz w:val="21"/>
          <w:szCs w:val="21"/>
        </w:rPr>
        <w:t xml:space="preserve"> por último, Prendas de vestir y calzado (2,70%) se ubicaron por debajo del promedio nacional.</w:t>
      </w:r>
    </w:p>
    <w:p w:rsidR="539F01B6" w:rsidP="539F01B6" w:rsidRDefault="00415346" w14:paraId="1AAFCA84" w14:textId="47EF044D">
      <w:pPr>
        <w:spacing w:after="160" w:line="259" w:lineRule="auto"/>
        <w:jc w:val="both"/>
        <w:rPr>
          <w:rFonts w:asciiTheme="minorHAnsi" w:hAnsiTheme="minorHAnsi" w:eastAsiaTheme="minorEastAsia" w:cstheme="minorBidi"/>
          <w:sz w:val="22"/>
          <w:szCs w:val="22"/>
        </w:rPr>
      </w:pPr>
      <w:r w:rsidRPr="00415346">
        <w:rPr>
          <w:rFonts w:asciiTheme="minorHAnsi" w:hAnsiTheme="minorHAnsi" w:eastAsiaTheme="minorEastAsia" w:cstheme="minorBidi"/>
          <w:noProof/>
          <w:sz w:val="22"/>
          <w:szCs w:val="22"/>
          <w:lang w:val="es-CO" w:eastAsia="es-CO"/>
        </w:rPr>
        <w:drawing>
          <wp:inline distT="0" distB="0" distL="0" distR="0" wp14:anchorId="3784E048" wp14:editId="4A4D94F8">
            <wp:extent cx="5320145" cy="2468894"/>
            <wp:effectExtent l="0" t="0" r="0" b="7620"/>
            <wp:docPr id="2808931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893182" name=""/>
                    <pic:cNvPicPr/>
                  </pic:nvPicPr>
                  <pic:blipFill>
                    <a:blip r:embed="rId32"/>
                    <a:stretch>
                      <a:fillRect/>
                    </a:stretch>
                  </pic:blipFill>
                  <pic:spPr>
                    <a:xfrm>
                      <a:off x="0" y="0"/>
                      <a:ext cx="5328809" cy="2472915"/>
                    </a:xfrm>
                    <a:prstGeom prst="rect">
                      <a:avLst/>
                    </a:prstGeom>
                  </pic:spPr>
                </pic:pic>
              </a:graphicData>
            </a:graphic>
          </wp:inline>
        </w:drawing>
      </w:r>
    </w:p>
    <w:p w:rsidR="00415346" w:rsidP="00415346" w:rsidRDefault="00415346" w14:paraId="3F182C44" w14:textId="77777777">
      <w:pPr>
        <w:spacing w:after="160" w:line="259" w:lineRule="auto"/>
        <w:jc w:val="both"/>
        <w:rPr>
          <w:rFonts w:ascii="Arial" w:hAnsi="Arial" w:eastAsia="Arial" w:cs="Arial"/>
          <w:sz w:val="22"/>
          <w:szCs w:val="22"/>
          <w:highlight w:val="yellow"/>
        </w:rPr>
      </w:pPr>
      <w:r w:rsidRPr="00803236">
        <w:rPr>
          <w:rFonts w:ascii="Arial" w:hAnsi="Arial" w:cs="Arial"/>
          <w:b/>
          <w:bCs/>
          <w:sz w:val="14"/>
          <w:szCs w:val="16"/>
        </w:rPr>
        <w:t>Fuente</w:t>
      </w:r>
      <w:r w:rsidRPr="00803236">
        <w:rPr>
          <w:rFonts w:ascii="Arial" w:hAnsi="Arial" w:cs="Arial"/>
          <w:sz w:val="14"/>
          <w:szCs w:val="16"/>
        </w:rPr>
        <w:t>: Departamento Administrativo Nacional de Estadística (DANE). Boletín Técnico Índice de Precios al Consumidor (IPC). Ma</w:t>
      </w:r>
      <w:r>
        <w:rPr>
          <w:rFonts w:ascii="Arial" w:hAnsi="Arial" w:cs="Arial"/>
          <w:sz w:val="14"/>
          <w:szCs w:val="16"/>
        </w:rPr>
        <w:t>y</w:t>
      </w:r>
      <w:r w:rsidRPr="00803236">
        <w:rPr>
          <w:rFonts w:ascii="Arial" w:hAnsi="Arial" w:cs="Arial"/>
          <w:sz w:val="14"/>
          <w:szCs w:val="16"/>
        </w:rPr>
        <w:t xml:space="preserve">o 2026. </w:t>
      </w:r>
      <w:proofErr w:type="gramStart"/>
      <w:r w:rsidRPr="00803236">
        <w:rPr>
          <w:rFonts w:ascii="Arial" w:hAnsi="Arial" w:cs="Arial"/>
          <w:sz w:val="14"/>
          <w:szCs w:val="16"/>
        </w:rPr>
        <w:t>https://www.dane.gov.co/index.php/estadisticas-por-tema/precios-y-costos/indice-de-precios-al-consumidor-ipc/ipc-informacion-tecnica  Fecha</w:t>
      </w:r>
      <w:proofErr w:type="gramEnd"/>
      <w:r w:rsidRPr="00803236">
        <w:rPr>
          <w:rFonts w:ascii="Arial" w:hAnsi="Arial" w:cs="Arial"/>
          <w:sz w:val="14"/>
          <w:szCs w:val="16"/>
        </w:rPr>
        <w:t xml:space="preserve"> de consulta: </w:t>
      </w:r>
      <w:r>
        <w:rPr>
          <w:rFonts w:ascii="Arial" w:hAnsi="Arial" w:cs="Arial"/>
          <w:sz w:val="14"/>
          <w:szCs w:val="21"/>
        </w:rPr>
        <w:t>10 junio</w:t>
      </w:r>
      <w:r w:rsidRPr="00B028ED">
        <w:rPr>
          <w:rFonts w:ascii="Arial" w:hAnsi="Arial" w:cs="Arial"/>
          <w:sz w:val="14"/>
          <w:szCs w:val="21"/>
        </w:rPr>
        <w:t xml:space="preserve"> de 2026.</w:t>
      </w:r>
      <w:r w:rsidRPr="5AFEBD85">
        <w:rPr>
          <w:rFonts w:ascii="Arial" w:hAnsi="Arial" w:cs="Arial"/>
          <w:sz w:val="16"/>
          <w:szCs w:val="16"/>
        </w:rPr>
        <w:t>.</w:t>
      </w:r>
    </w:p>
    <w:p w:rsidR="1D39646D" w:rsidP="5CB1E3AC" w:rsidRDefault="1D39646D" w14:paraId="5600A7A6" w14:textId="618580ED">
      <w:pPr>
        <w:spacing w:after="160" w:line="259" w:lineRule="auto"/>
        <w:jc w:val="both"/>
        <w:rPr>
          <w:rFonts w:ascii="Calibri" w:hAnsi="Calibri" w:eastAsia="" w:cs="" w:asciiTheme="minorAscii" w:hAnsiTheme="minorAscii" w:eastAsiaTheme="minorEastAsia" w:cstheme="minorBidi"/>
          <w:b w:val="1"/>
          <w:bCs w:val="1"/>
        </w:rPr>
      </w:pPr>
      <w:commentRangeStart w:id="785099919"/>
      <w:r w:rsidRPr="5CB1E3AC" w:rsidR="1D39646D">
        <w:rPr>
          <w:rFonts w:ascii="Calibri" w:hAnsi="Calibri" w:eastAsia="" w:cs="" w:asciiTheme="minorAscii" w:hAnsiTheme="minorAscii" w:eastAsiaTheme="minorEastAsia" w:cstheme="minorBidi"/>
          <w:b w:val="1"/>
          <w:bCs w:val="1"/>
        </w:rPr>
        <w:t>VARIACIONES DEL SMMLV</w:t>
      </w:r>
      <w:commentRangeEnd w:id="785099919"/>
      <w:r>
        <w:rPr>
          <w:rStyle w:val="CommentReference"/>
        </w:rPr>
        <w:commentReference w:id="785099919"/>
      </w:r>
    </w:p>
    <w:p w:rsidR="1D39646D" w:rsidP="539F01B6" w:rsidRDefault="1D39646D" w14:paraId="52542D4D" w14:textId="07609E49">
      <w:pPr>
        <w:spacing w:after="160" w:line="259" w:lineRule="auto"/>
        <w:jc w:val="both"/>
        <w:rPr>
          <w:rFonts w:asciiTheme="minorHAnsi" w:hAnsiTheme="minorHAnsi" w:eastAsiaTheme="minorEastAsia" w:cstheme="minorBidi"/>
          <w:sz w:val="22"/>
          <w:szCs w:val="22"/>
        </w:rPr>
      </w:pPr>
      <w:r w:rsidRPr="539F01B6">
        <w:rPr>
          <w:rFonts w:asciiTheme="minorHAnsi" w:hAnsiTheme="minorHAnsi" w:eastAsiaTheme="minorEastAsia" w:cstheme="minorBidi"/>
          <w:sz w:val="22"/>
          <w:szCs w:val="22"/>
        </w:rPr>
        <w:t>Se analiza las variaciones del SMMLV de los últimos 5 años</w:t>
      </w:r>
    </w:p>
    <w:p w:rsidR="7CE1334C" w:rsidP="539F01B6" w:rsidRDefault="7CE1334C" w14:paraId="0F317E7E" w14:textId="6DC3E080">
      <w:pPr>
        <w:spacing w:after="160" w:line="259" w:lineRule="auto"/>
        <w:jc w:val="both"/>
      </w:pPr>
      <w:r>
        <w:rPr>
          <w:noProof/>
          <w:lang w:val="es-CO" w:eastAsia="es-CO"/>
        </w:rPr>
        <w:drawing>
          <wp:inline distT="0" distB="0" distL="0" distR="0" wp14:anchorId="7640AC31" wp14:editId="47F810FA">
            <wp:extent cx="5772150" cy="2362200"/>
            <wp:effectExtent l="0" t="0" r="0" b="0"/>
            <wp:docPr id="6019153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915398" name="Picture 601915398"/>
                    <pic:cNvPicPr/>
                  </pic:nvPicPr>
                  <pic:blipFill>
                    <a:blip r:embed="rId33">
                      <a:extLst>
                        <a:ext uri="{28A0092B-C50C-407E-A947-70E740481C1C}">
                          <a14:useLocalDpi xmlns:a14="http://schemas.microsoft.com/office/drawing/2010/main"/>
                        </a:ext>
                      </a:extLst>
                    </a:blip>
                    <a:stretch>
                      <a:fillRect/>
                    </a:stretch>
                  </pic:blipFill>
                  <pic:spPr>
                    <a:xfrm>
                      <a:off x="0" y="0"/>
                      <a:ext cx="5772150" cy="2362200"/>
                    </a:xfrm>
                    <a:prstGeom prst="rect">
                      <a:avLst/>
                    </a:prstGeom>
                  </pic:spPr>
                </pic:pic>
              </a:graphicData>
            </a:graphic>
          </wp:inline>
        </w:drawing>
      </w:r>
    </w:p>
    <w:p w:rsidRPr="00803236" w:rsidR="77C5387A" w:rsidP="539F01B6" w:rsidRDefault="00803236" w14:paraId="2F2B7CD3" w14:textId="789A89D4">
      <w:pPr>
        <w:spacing w:after="160" w:line="259" w:lineRule="auto"/>
        <w:jc w:val="both"/>
        <w:rPr>
          <w:rFonts w:asciiTheme="minorHAnsi" w:hAnsiTheme="minorHAnsi" w:eastAsiaTheme="minorEastAsia" w:cstheme="minorBidi"/>
          <w:sz w:val="14"/>
          <w:szCs w:val="16"/>
        </w:rPr>
      </w:pPr>
      <w:r w:rsidRPr="00803236">
        <w:rPr>
          <w:rFonts w:asciiTheme="minorHAnsi" w:hAnsiTheme="minorHAnsi" w:eastAsiaTheme="minorEastAsia" w:cstheme="minorBidi"/>
          <w:sz w:val="16"/>
          <w:szCs w:val="18"/>
        </w:rPr>
        <w:t xml:space="preserve">Tasa de cambio o tasa de cambio representativa del mercado (TRM) - </w:t>
      </w:r>
      <w:r w:rsidRPr="00803236" w:rsidR="77C5387A">
        <w:rPr>
          <w:rFonts w:asciiTheme="minorHAnsi" w:hAnsiTheme="minorHAnsi" w:eastAsiaTheme="minorEastAsia" w:cstheme="minorBidi"/>
          <w:sz w:val="16"/>
          <w:szCs w:val="18"/>
        </w:rPr>
        <w:t xml:space="preserve">Fuente: </w:t>
      </w:r>
      <w:hyperlink r:id="rId34">
        <w:r w:rsidRPr="00803236" w:rsidR="77C5387A">
          <w:rPr>
            <w:rStyle w:val="Hipervnculo"/>
            <w:rFonts w:asciiTheme="minorHAnsi" w:hAnsiTheme="minorHAnsi" w:eastAsiaTheme="minorEastAsia" w:cstheme="minorBidi"/>
            <w:sz w:val="16"/>
            <w:szCs w:val="18"/>
          </w:rPr>
          <w:t>https://www.salariominimocolombia.net/historico/</w:t>
        </w:r>
      </w:hyperlink>
      <w:r w:rsidRPr="00803236" w:rsidR="77C5387A">
        <w:rPr>
          <w:rFonts w:asciiTheme="minorHAnsi" w:hAnsiTheme="minorHAnsi" w:eastAsiaTheme="minorEastAsia" w:cstheme="minorBidi"/>
          <w:sz w:val="16"/>
          <w:szCs w:val="18"/>
        </w:rPr>
        <w:t xml:space="preserve"> Fecha Consulta: </w:t>
      </w:r>
      <w:r w:rsidR="001428CA">
        <w:rPr>
          <w:rFonts w:asciiTheme="minorHAnsi" w:hAnsiTheme="minorHAnsi" w:eastAsiaTheme="minorEastAsia" w:cstheme="minorBidi"/>
          <w:sz w:val="16"/>
          <w:szCs w:val="18"/>
        </w:rPr>
        <w:t>05</w:t>
      </w:r>
      <w:r w:rsidRPr="00803236" w:rsidR="77C5387A">
        <w:rPr>
          <w:rFonts w:asciiTheme="minorHAnsi" w:hAnsiTheme="minorHAnsi" w:eastAsiaTheme="minorEastAsia" w:cstheme="minorBidi"/>
          <w:sz w:val="16"/>
          <w:szCs w:val="18"/>
        </w:rPr>
        <w:t xml:space="preserve"> de </w:t>
      </w:r>
      <w:r w:rsidR="001428CA">
        <w:rPr>
          <w:rFonts w:asciiTheme="minorHAnsi" w:hAnsiTheme="minorHAnsi" w:eastAsiaTheme="minorEastAsia" w:cstheme="minorBidi"/>
          <w:sz w:val="16"/>
          <w:szCs w:val="18"/>
        </w:rPr>
        <w:t>mayo</w:t>
      </w:r>
      <w:r w:rsidRPr="00803236" w:rsidR="77C5387A">
        <w:rPr>
          <w:rFonts w:asciiTheme="minorHAnsi" w:hAnsiTheme="minorHAnsi" w:eastAsiaTheme="minorEastAsia" w:cstheme="minorBidi"/>
          <w:sz w:val="16"/>
          <w:szCs w:val="18"/>
        </w:rPr>
        <w:t xml:space="preserve"> de 2026.</w:t>
      </w:r>
    </w:p>
    <w:p w:rsidRPr="00803236" w:rsidR="1D39646D" w:rsidP="539F01B6" w:rsidRDefault="1D39646D" w14:paraId="72C23AE1" w14:textId="4C9D9C65">
      <w:pPr>
        <w:spacing w:after="160" w:line="259" w:lineRule="auto"/>
        <w:jc w:val="both"/>
        <w:rPr>
          <w:rFonts w:ascii="Arial" w:hAnsi="Arial" w:eastAsia="Arial" w:cs="Arial"/>
          <w:sz w:val="21"/>
          <w:szCs w:val="21"/>
        </w:rPr>
      </w:pPr>
      <w:r w:rsidRPr="00803236">
        <w:rPr>
          <w:rFonts w:ascii="Arial" w:hAnsi="Arial" w:eastAsia="Arial" w:cs="Arial"/>
          <w:sz w:val="21"/>
          <w:szCs w:val="21"/>
        </w:rPr>
        <w:t>Entre 2022 y 2026, el Salario Mínimo Mensual Legal Vigente (SMMLV) ha mostrado un crecimiento sostenido y significativo. En 2022, el salario mínimo era de $1,000,000, y para 2026</w:t>
      </w:r>
      <w:r w:rsidRPr="00803236" w:rsidR="03CEA296">
        <w:rPr>
          <w:rFonts w:ascii="Arial" w:hAnsi="Arial" w:eastAsia="Arial" w:cs="Arial"/>
          <w:sz w:val="21"/>
          <w:szCs w:val="21"/>
        </w:rPr>
        <w:t xml:space="preserve"> </w:t>
      </w:r>
      <w:r w:rsidRPr="00803236">
        <w:rPr>
          <w:rFonts w:ascii="Arial" w:hAnsi="Arial" w:eastAsia="Arial" w:cs="Arial"/>
          <w:sz w:val="21"/>
          <w:szCs w:val="21"/>
        </w:rPr>
        <w:t>alcanzó $1,750,905, lo que representa un incremento acumulado de aproximadamente 75,1% en cuatro años. El mayor salto porcentual se observa entre 2025 y 2026, con un aumento del 23% (de $1,423,500 a $1,750,905), mientras que los incrementos en los años anteriores fueron más moderados, entre el 8% y 14%. Esta tendencia puede estar reflejado por variables económicos, políticos, mercado laboral, contexto político y social que buscan equilibrar la protección del poder adquisitivo de los trabajadores.</w:t>
      </w:r>
    </w:p>
    <w:p w:rsidRPr="003D0ADA" w:rsidR="00D86FE0" w:rsidP="00803236" w:rsidRDefault="1A810D30" w14:paraId="31285469" w14:textId="6BCF611D">
      <w:pPr>
        <w:pStyle w:val="Textoindependiente"/>
        <w:spacing w:after="160" w:line="259" w:lineRule="auto"/>
        <w:rPr>
          <w:rFonts w:ascii="Arial" w:hAnsi="Arial" w:cs="Arial"/>
          <w:b/>
          <w:bCs/>
          <w:sz w:val="22"/>
          <w:szCs w:val="22"/>
        </w:rPr>
      </w:pPr>
      <w:r w:rsidRPr="3EA244B7">
        <w:rPr>
          <w:rFonts w:ascii="Arial" w:hAnsi="Arial" w:cs="Arial"/>
          <w:b/>
          <w:bCs/>
          <w:sz w:val="22"/>
          <w:szCs w:val="22"/>
        </w:rPr>
        <w:t>TRM</w:t>
      </w:r>
    </w:p>
    <w:p w:rsidRPr="00803236" w:rsidR="008A67C1" w:rsidP="00D86FE0" w:rsidRDefault="008A67C1" w14:paraId="26EFA133" w14:textId="77777777">
      <w:pPr>
        <w:contextualSpacing/>
        <w:jc w:val="both"/>
        <w:rPr>
          <w:rFonts w:ascii="Arial" w:hAnsi="Arial" w:eastAsia="Arial" w:cs="Arial"/>
          <w:sz w:val="21"/>
          <w:szCs w:val="21"/>
        </w:rPr>
      </w:pPr>
      <w:r w:rsidRPr="00803236">
        <w:rPr>
          <w:rFonts w:ascii="Arial" w:hAnsi="Arial" w:eastAsia="Arial" w:cs="Arial"/>
          <w:sz w:val="21"/>
          <w:szCs w:val="21"/>
        </w:rPr>
        <w:t xml:space="preserve">Por otro lado, teniendo en cuenta que los bienes requeridos por la Entidad son en su mayoría productos importados, es preciso mencionar que la tasa de cambio del peso colombiano con respecto al dólar tiene incidencia directa en su precio. </w:t>
      </w:r>
    </w:p>
    <w:p w:rsidRPr="00803236" w:rsidR="008A67C1" w:rsidP="00D86FE0" w:rsidRDefault="008A67C1" w14:paraId="5207E5A3" w14:textId="77777777">
      <w:pPr>
        <w:contextualSpacing/>
        <w:jc w:val="both"/>
        <w:rPr>
          <w:rFonts w:ascii="Arial" w:hAnsi="Arial" w:eastAsia="Arial" w:cs="Arial"/>
          <w:sz w:val="21"/>
          <w:szCs w:val="21"/>
        </w:rPr>
      </w:pPr>
    </w:p>
    <w:p w:rsidRPr="00803236" w:rsidR="008A67C1" w:rsidP="5AFEBD85" w:rsidRDefault="008A67C1" w14:paraId="14017C54" w14:textId="7CCF51DB">
      <w:pPr>
        <w:contextualSpacing/>
        <w:jc w:val="both"/>
        <w:rPr>
          <w:rFonts w:ascii="Arial" w:hAnsi="Arial" w:eastAsia="Arial" w:cs="Arial"/>
          <w:sz w:val="21"/>
          <w:szCs w:val="21"/>
        </w:rPr>
      </w:pPr>
      <w:r w:rsidRPr="00803236">
        <w:rPr>
          <w:rFonts w:ascii="Arial" w:hAnsi="Arial" w:eastAsia="Arial" w:cs="Arial"/>
          <w:sz w:val="21"/>
          <w:szCs w:val="21"/>
        </w:rPr>
        <w:t>Al respecto, tal como lo establecen Krugman &amp; Wells (2006, pág. 470)</w:t>
      </w:r>
      <w:r w:rsidRPr="00803236">
        <w:rPr>
          <w:rFonts w:ascii="Arial" w:hAnsi="Arial" w:eastAsia="Arial" w:cs="Arial"/>
          <w:sz w:val="21"/>
          <w:szCs w:val="21"/>
        </w:rPr>
        <w:footnoteReference w:id="2"/>
      </w:r>
      <w:r w:rsidRPr="00803236">
        <w:rPr>
          <w:rFonts w:ascii="Arial" w:hAnsi="Arial" w:eastAsia="Arial" w:cs="Arial"/>
          <w:sz w:val="21"/>
          <w:szCs w:val="21"/>
        </w:rPr>
        <w:t xml:space="preserve">, cuando la divisa en la que se realiza la transacción (en este caso el dólar) se valoriza respecto a la moneda del país importador (en este caso el peso colombiano) el sector importador sufre un impacto significativo al requerir más pesos para adquirir los dólares necesarios para comprar los bienes. Lo anterior </w:t>
      </w:r>
      <w:r w:rsidRPr="00803236">
        <w:rPr>
          <w:rFonts w:ascii="Arial" w:hAnsi="Arial" w:eastAsia="Arial" w:cs="Arial"/>
          <w:sz w:val="21"/>
          <w:szCs w:val="21"/>
        </w:rPr>
        <w:t xml:space="preserve">implica que comprar bienes con tasa de cambio alta requerirá un mayor presupuesto (si todo lo demás permanece constante) o viceversa y a su vez supone un aumento en los precios finales a los consumidores. </w:t>
      </w:r>
    </w:p>
    <w:p w:rsidR="52F56C82" w:rsidP="5CB1E3AC" w:rsidRDefault="52F56C82" w14:paraId="27FB46BF" w14:textId="79018E20">
      <w:pPr>
        <w:spacing w:line="276" w:lineRule="auto"/>
        <w:contextualSpacing w:val="1"/>
        <w:jc w:val="both"/>
        <w:rPr>
          <w:rFonts w:ascii="Arial" w:hAnsi="Arial" w:eastAsia="Arial" w:cs="Arial"/>
          <w:sz w:val="22"/>
          <w:szCs w:val="22"/>
        </w:rPr>
      </w:pPr>
      <w:commentRangeStart w:id="306463940"/>
      <w:r w:rsidRPr="5CB1E3AC" w:rsidR="52F56C82">
        <w:rPr>
          <w:rFonts w:ascii="Arial" w:hAnsi="Arial" w:eastAsia="Arial" w:cs="Arial"/>
          <w:b w:val="1"/>
          <w:bCs w:val="1"/>
          <w:color w:val="000000" w:themeColor="text1" w:themeTint="FF" w:themeShade="FF"/>
          <w:sz w:val="16"/>
          <w:szCs w:val="16"/>
        </w:rPr>
        <w:t>Fuente</w:t>
      </w:r>
      <w:r w:rsidRPr="5CB1E3AC" w:rsidR="52F56C82">
        <w:rPr>
          <w:rFonts w:ascii="Arial" w:hAnsi="Arial" w:eastAsia="Arial" w:cs="Arial"/>
          <w:color w:val="000000" w:themeColor="text1" w:themeTint="FF" w:themeShade="FF"/>
          <w:sz w:val="16"/>
          <w:szCs w:val="16"/>
        </w:rPr>
        <w:t>:</w:t>
      </w:r>
      <w:r w:rsidRPr="5CB1E3AC" w:rsidR="52F56C82">
        <w:rPr>
          <w:color w:val="000000" w:themeColor="text1" w:themeTint="FF" w:themeShade="FF"/>
          <w:sz w:val="16"/>
          <w:szCs w:val="16"/>
          <w:lang w:val="en-US"/>
        </w:rPr>
        <w:t>Krugman</w:t>
      </w:r>
      <w:r w:rsidRPr="5CB1E3AC" w:rsidR="52F56C82">
        <w:rPr>
          <w:color w:val="000000" w:themeColor="text1" w:themeTint="FF" w:themeShade="FF"/>
          <w:sz w:val="16"/>
          <w:szCs w:val="16"/>
          <w:lang w:val="en-US"/>
        </w:rPr>
        <w:t xml:space="preserve">, P. R., &amp; Wells, R. (2006). </w:t>
      </w:r>
      <w:r w:rsidRPr="5CB1E3AC" w:rsidR="52F56C82">
        <w:rPr>
          <w:color w:val="000000" w:themeColor="text1" w:themeTint="FF" w:themeShade="FF"/>
          <w:sz w:val="16"/>
          <w:szCs w:val="16"/>
        </w:rPr>
        <w:t xml:space="preserve">Introducción a la economía: microeconomía. Reverté., Disponible en: </w:t>
      </w:r>
      <w:hyperlink r:id="Ra27b388ce3094f24">
        <w:r w:rsidRPr="5CB1E3AC" w:rsidR="52F56C82">
          <w:rPr>
            <w:rStyle w:val="Hipervnculo"/>
            <w:sz w:val="16"/>
            <w:szCs w:val="16"/>
          </w:rPr>
          <w:t>https://books.google.com.co/booksid=ld8I68bW3eoC&amp;printsec=frontcover&amp;hl=es&amp;source=gbs_ge_summary_r&amp;cad=0#v=onepage&amp;q&amp;f=false</w:t>
        </w:r>
      </w:hyperlink>
      <w:r w:rsidRPr="5CB1E3AC" w:rsidR="52F56C82">
        <w:rPr>
          <w:color w:val="000000" w:themeColor="text1" w:themeTint="FF" w:themeShade="FF"/>
          <w:sz w:val="16"/>
          <w:szCs w:val="16"/>
          <w:lang w:val="es-CO"/>
        </w:rPr>
        <w:t xml:space="preserve"> Fecha de consulta: </w:t>
      </w:r>
      <w:r w:rsidRPr="5CB1E3AC" w:rsidR="00415346">
        <w:rPr>
          <w:color w:val="000000" w:themeColor="text1" w:themeTint="FF" w:themeShade="FF"/>
          <w:sz w:val="16"/>
          <w:szCs w:val="16"/>
          <w:lang w:val="es-CO"/>
        </w:rPr>
        <w:t>10</w:t>
      </w:r>
      <w:r w:rsidRPr="5CB1E3AC" w:rsidR="52F56C82">
        <w:rPr>
          <w:color w:val="000000" w:themeColor="text1" w:themeTint="FF" w:themeShade="FF"/>
          <w:sz w:val="16"/>
          <w:szCs w:val="16"/>
          <w:lang w:val="es-CO"/>
        </w:rPr>
        <w:t xml:space="preserve"> de </w:t>
      </w:r>
      <w:r w:rsidRPr="5CB1E3AC" w:rsidR="00415346">
        <w:rPr>
          <w:color w:val="000000" w:themeColor="text1" w:themeTint="FF" w:themeShade="FF"/>
          <w:sz w:val="16"/>
          <w:szCs w:val="16"/>
          <w:lang w:val="es-CO"/>
        </w:rPr>
        <w:t>junio</w:t>
      </w:r>
      <w:r w:rsidRPr="5CB1E3AC" w:rsidR="52F56C82">
        <w:rPr>
          <w:color w:val="000000" w:themeColor="text1" w:themeTint="FF" w:themeShade="FF"/>
          <w:sz w:val="16"/>
          <w:szCs w:val="16"/>
          <w:lang w:val="es-CO"/>
        </w:rPr>
        <w:t xml:space="preserve"> de 2026</w:t>
      </w:r>
      <w:commentRangeEnd w:id="306463940"/>
      <w:r>
        <w:rPr>
          <w:rStyle w:val="CommentReference"/>
        </w:rPr>
        <w:commentReference w:id="306463940"/>
      </w:r>
    </w:p>
    <w:p w:rsidR="5AFEBD85" w:rsidP="5AFEBD85" w:rsidRDefault="5AFEBD85" w14:paraId="79CC51E6" w14:textId="51F7F29B">
      <w:pPr>
        <w:contextualSpacing/>
        <w:jc w:val="both"/>
        <w:rPr>
          <w:rFonts w:ascii="Arial" w:hAnsi="Arial" w:cs="Arial"/>
          <w:sz w:val="22"/>
          <w:szCs w:val="22"/>
        </w:rPr>
      </w:pPr>
    </w:p>
    <w:p w:rsidRPr="00803236" w:rsidR="008A67C1" w:rsidP="5CB1E3AC" w:rsidRDefault="33302EAA" w14:paraId="06BDB9A3" w14:textId="206B73D8">
      <w:pPr>
        <w:spacing/>
        <w:contextualSpacing w:val="1"/>
        <w:jc w:val="both"/>
        <w:rPr>
          <w:rFonts w:ascii="Arial" w:hAnsi="Arial" w:eastAsia="Arial" w:cs="Arial"/>
          <w:sz w:val="21"/>
          <w:szCs w:val="21"/>
        </w:rPr>
      </w:pPr>
      <w:r w:rsidRPr="5CB1E3AC" w:rsidR="33302EAA">
        <w:rPr>
          <w:rFonts w:ascii="Arial" w:hAnsi="Arial" w:eastAsia="Arial" w:cs="Arial"/>
          <w:sz w:val="21"/>
          <w:szCs w:val="21"/>
        </w:rPr>
        <w:t xml:space="preserve">Al analizar el comportamiento de la Tasa Representativa del Mercado (TRM) entre el </w:t>
      </w:r>
      <w:r w:rsidRPr="5CB1E3AC" w:rsidR="752537C1">
        <w:rPr>
          <w:rFonts w:ascii="Arial" w:hAnsi="Arial" w:eastAsia="Arial" w:cs="Arial"/>
          <w:sz w:val="21"/>
          <w:szCs w:val="21"/>
        </w:rPr>
        <w:t>0</w:t>
      </w:r>
      <w:r w:rsidRPr="5CB1E3AC" w:rsidR="614D0C45">
        <w:rPr>
          <w:rFonts w:ascii="Arial" w:hAnsi="Arial" w:eastAsia="Arial" w:cs="Arial"/>
          <w:sz w:val="21"/>
          <w:szCs w:val="21"/>
        </w:rPr>
        <w:t>1</w:t>
      </w:r>
      <w:r w:rsidRPr="5CB1E3AC" w:rsidR="33302EAA">
        <w:rPr>
          <w:rFonts w:ascii="Arial" w:hAnsi="Arial" w:eastAsia="Arial" w:cs="Arial"/>
          <w:sz w:val="21"/>
          <w:szCs w:val="21"/>
        </w:rPr>
        <w:t xml:space="preserve"> de </w:t>
      </w:r>
      <w:r w:rsidRPr="5CB1E3AC" w:rsidR="00C15CE1">
        <w:rPr>
          <w:rFonts w:ascii="Arial" w:hAnsi="Arial" w:eastAsia="Arial" w:cs="Arial"/>
          <w:sz w:val="21"/>
          <w:szCs w:val="21"/>
        </w:rPr>
        <w:t>enero</w:t>
      </w:r>
      <w:r w:rsidRPr="5CB1E3AC" w:rsidR="44152EA7">
        <w:rPr>
          <w:rFonts w:ascii="Arial" w:hAnsi="Arial" w:eastAsia="Arial" w:cs="Arial"/>
          <w:sz w:val="21"/>
          <w:szCs w:val="21"/>
        </w:rPr>
        <w:t xml:space="preserve"> </w:t>
      </w:r>
      <w:r w:rsidRPr="5CB1E3AC" w:rsidR="33302EAA">
        <w:rPr>
          <w:rFonts w:ascii="Arial" w:hAnsi="Arial" w:eastAsia="Arial" w:cs="Arial"/>
          <w:sz w:val="21"/>
          <w:szCs w:val="21"/>
        </w:rPr>
        <w:t>de 202</w:t>
      </w:r>
      <w:r w:rsidRPr="5CB1E3AC" w:rsidR="00C15CE1">
        <w:rPr>
          <w:rFonts w:ascii="Arial" w:hAnsi="Arial" w:eastAsia="Arial" w:cs="Arial"/>
          <w:sz w:val="21"/>
          <w:szCs w:val="21"/>
        </w:rPr>
        <w:t>6</w:t>
      </w:r>
      <w:r w:rsidRPr="5CB1E3AC" w:rsidR="33302EAA">
        <w:rPr>
          <w:rFonts w:ascii="Arial" w:hAnsi="Arial" w:eastAsia="Arial" w:cs="Arial"/>
          <w:sz w:val="21"/>
          <w:szCs w:val="21"/>
        </w:rPr>
        <w:t xml:space="preserve"> al </w:t>
      </w:r>
      <w:r w:rsidRPr="5CB1E3AC" w:rsidR="00C15CE1">
        <w:rPr>
          <w:rFonts w:ascii="Arial" w:hAnsi="Arial" w:eastAsia="Arial" w:cs="Arial"/>
          <w:sz w:val="21"/>
          <w:szCs w:val="21"/>
        </w:rPr>
        <w:t>01</w:t>
      </w:r>
      <w:r w:rsidRPr="5CB1E3AC" w:rsidR="44152EA7">
        <w:rPr>
          <w:rFonts w:ascii="Arial" w:hAnsi="Arial" w:eastAsia="Arial" w:cs="Arial"/>
          <w:sz w:val="21"/>
          <w:szCs w:val="21"/>
        </w:rPr>
        <w:t xml:space="preserve"> de </w:t>
      </w:r>
      <w:r w:rsidRPr="5CB1E3AC" w:rsidR="00C15CE1">
        <w:rPr>
          <w:rFonts w:ascii="Arial" w:hAnsi="Arial" w:eastAsia="Arial" w:cs="Arial"/>
          <w:sz w:val="21"/>
          <w:szCs w:val="21"/>
        </w:rPr>
        <w:t>juni</w:t>
      </w:r>
      <w:r w:rsidRPr="5CB1E3AC" w:rsidR="0078660D">
        <w:rPr>
          <w:rFonts w:ascii="Arial" w:hAnsi="Arial" w:eastAsia="Arial" w:cs="Arial"/>
          <w:sz w:val="21"/>
          <w:szCs w:val="21"/>
        </w:rPr>
        <w:t>o</w:t>
      </w:r>
      <w:r w:rsidRPr="5CB1E3AC" w:rsidR="752537C1">
        <w:rPr>
          <w:rFonts w:ascii="Arial" w:hAnsi="Arial" w:eastAsia="Arial" w:cs="Arial"/>
          <w:sz w:val="21"/>
          <w:szCs w:val="21"/>
        </w:rPr>
        <w:t xml:space="preserve"> </w:t>
      </w:r>
      <w:r w:rsidRPr="5CB1E3AC" w:rsidR="33302EAA">
        <w:rPr>
          <w:rFonts w:ascii="Arial" w:hAnsi="Arial" w:eastAsia="Arial" w:cs="Arial"/>
          <w:sz w:val="21"/>
          <w:szCs w:val="21"/>
        </w:rPr>
        <w:t>de 202</w:t>
      </w:r>
      <w:r w:rsidRPr="5CB1E3AC" w:rsidR="039CDFF9">
        <w:rPr>
          <w:rFonts w:ascii="Arial" w:hAnsi="Arial" w:eastAsia="Arial" w:cs="Arial"/>
          <w:sz w:val="21"/>
          <w:szCs w:val="21"/>
        </w:rPr>
        <w:t>6</w:t>
      </w:r>
      <w:r w:rsidRPr="5CB1E3AC" w:rsidR="33302EAA">
        <w:rPr>
          <w:rFonts w:ascii="Arial" w:hAnsi="Arial" w:eastAsia="Arial" w:cs="Arial"/>
          <w:sz w:val="21"/>
          <w:szCs w:val="21"/>
        </w:rPr>
        <w:t xml:space="preserve">, se evidencia una </w:t>
      </w:r>
      <w:commentRangeStart w:id="356458339"/>
      <w:r w:rsidRPr="5CB1E3AC" w:rsidR="33302EAA">
        <w:rPr>
          <w:rFonts w:ascii="Arial" w:hAnsi="Arial" w:eastAsia="Arial" w:cs="Arial"/>
          <w:sz w:val="21"/>
          <w:szCs w:val="21"/>
        </w:rPr>
        <w:t>depreciación</w:t>
      </w:r>
      <w:commentRangeEnd w:id="356458339"/>
      <w:r>
        <w:rPr>
          <w:rStyle w:val="CommentReference"/>
        </w:rPr>
        <w:commentReference w:id="356458339"/>
      </w:r>
      <w:r w:rsidRPr="5CB1E3AC" w:rsidR="33302EAA">
        <w:rPr>
          <w:rFonts w:ascii="Arial" w:hAnsi="Arial" w:eastAsia="Arial" w:cs="Arial"/>
          <w:sz w:val="21"/>
          <w:szCs w:val="21"/>
        </w:rPr>
        <w:t xml:space="preserve"> del peso colombiano frente al dólar estadounidense, pasando de $</w:t>
      </w:r>
      <w:r w:rsidRPr="5CB1E3AC" w:rsidR="00C15CE1">
        <w:rPr>
          <w:rFonts w:ascii="Arial" w:hAnsi="Arial" w:eastAsia="Arial" w:cs="Arial"/>
          <w:sz w:val="21"/>
          <w:szCs w:val="21"/>
        </w:rPr>
        <w:t>3.757,08</w:t>
      </w:r>
      <w:r w:rsidRPr="5CB1E3AC" w:rsidR="3B4662F6">
        <w:rPr>
          <w:rFonts w:ascii="Arial" w:hAnsi="Arial" w:eastAsia="Arial" w:cs="Arial"/>
          <w:sz w:val="21"/>
          <w:szCs w:val="21"/>
        </w:rPr>
        <w:t xml:space="preserve"> </w:t>
      </w:r>
      <w:r w:rsidRPr="5CB1E3AC" w:rsidR="33302EAA">
        <w:rPr>
          <w:rFonts w:ascii="Arial" w:hAnsi="Arial" w:eastAsia="Arial" w:cs="Arial"/>
          <w:sz w:val="21"/>
          <w:szCs w:val="21"/>
        </w:rPr>
        <w:t>a $</w:t>
      </w:r>
      <w:r w:rsidRPr="5CB1E3AC" w:rsidR="2BE4525C">
        <w:rPr>
          <w:rFonts w:ascii="Arial" w:hAnsi="Arial" w:eastAsia="Arial" w:cs="Arial"/>
          <w:sz w:val="21"/>
          <w:szCs w:val="21"/>
        </w:rPr>
        <w:t>3.</w:t>
      </w:r>
      <w:r w:rsidRPr="5CB1E3AC" w:rsidR="00C15CE1">
        <w:rPr>
          <w:rFonts w:ascii="Arial" w:hAnsi="Arial" w:eastAsia="Arial" w:cs="Arial"/>
          <w:sz w:val="21"/>
          <w:szCs w:val="21"/>
        </w:rPr>
        <w:t>678</w:t>
      </w:r>
      <w:r w:rsidRPr="5CB1E3AC" w:rsidR="2BE4525C">
        <w:rPr>
          <w:rFonts w:ascii="Arial" w:hAnsi="Arial" w:eastAsia="Arial" w:cs="Arial"/>
          <w:sz w:val="21"/>
          <w:szCs w:val="21"/>
        </w:rPr>
        <w:t>,</w:t>
      </w:r>
      <w:r w:rsidRPr="5CB1E3AC" w:rsidR="00C15CE1">
        <w:rPr>
          <w:rFonts w:ascii="Arial" w:hAnsi="Arial" w:eastAsia="Arial" w:cs="Arial"/>
          <w:sz w:val="21"/>
          <w:szCs w:val="21"/>
        </w:rPr>
        <w:t>15</w:t>
      </w:r>
      <w:r w:rsidRPr="5CB1E3AC" w:rsidR="1B0D6C7C">
        <w:rPr>
          <w:rFonts w:ascii="Arial" w:hAnsi="Arial" w:eastAsia="Arial" w:cs="Arial"/>
          <w:sz w:val="21"/>
          <w:szCs w:val="21"/>
        </w:rPr>
        <w:t>.</w:t>
      </w:r>
      <w:r w:rsidRPr="5CB1E3AC" w:rsidR="675CD2E4">
        <w:rPr>
          <w:rFonts w:ascii="Arial" w:hAnsi="Arial" w:eastAsia="Arial" w:cs="Arial"/>
          <w:sz w:val="21"/>
          <w:szCs w:val="21"/>
        </w:rPr>
        <w:t xml:space="preserve"> </w:t>
      </w:r>
      <w:r w:rsidRPr="5CB1E3AC" w:rsidR="33302EAA">
        <w:rPr>
          <w:rFonts w:ascii="Arial" w:hAnsi="Arial" w:eastAsia="Arial" w:cs="Arial"/>
          <w:sz w:val="21"/>
          <w:szCs w:val="21"/>
        </w:rPr>
        <w:t>A continuación, el gráfico del comportamiento de la Tasa de Cambio Representativa del Mercado (TRM) del periodo en mención:</w:t>
      </w:r>
    </w:p>
    <w:p w:rsidR="00BA4085" w:rsidP="00D86FE0" w:rsidRDefault="00BA4085" w14:paraId="0D91E6F1" w14:textId="69D83DF3">
      <w:pPr>
        <w:contextualSpacing/>
        <w:jc w:val="both"/>
        <w:rPr>
          <w:rFonts w:ascii="Arial" w:hAnsi="Arial" w:cs="Arial"/>
          <w:sz w:val="22"/>
          <w:szCs w:val="22"/>
        </w:rPr>
      </w:pPr>
    </w:p>
    <w:p w:rsidRPr="003D0ADA" w:rsidR="00BA4085" w:rsidP="5AFEBD85" w:rsidRDefault="00BA4085" w14:paraId="27CD7B0E" w14:textId="0E832625">
      <w:pPr>
        <w:contextualSpacing/>
        <w:jc w:val="both"/>
        <w:rPr>
          <w:rFonts w:ascii="Arial" w:hAnsi="Arial" w:cs="Arial"/>
          <w:sz w:val="22"/>
          <w:szCs w:val="22"/>
        </w:rPr>
      </w:pPr>
      <w:r w:rsidRPr="5AFEBD85">
        <w:rPr>
          <w:rFonts w:ascii="Arial" w:hAnsi="Arial" w:cs="Arial"/>
          <w:sz w:val="22"/>
          <w:szCs w:val="22"/>
        </w:rPr>
        <w:t xml:space="preserve">Grafica </w:t>
      </w:r>
      <w:r w:rsidRPr="5AFEBD85" w:rsidR="1332E9D4">
        <w:rPr>
          <w:rFonts w:ascii="Arial" w:hAnsi="Arial" w:cs="Arial"/>
          <w:sz w:val="22"/>
          <w:szCs w:val="22"/>
        </w:rPr>
        <w:t>3 del Sector</w:t>
      </w:r>
    </w:p>
    <w:p w:rsidRPr="003D0ADA" w:rsidR="002903D5" w:rsidP="00D86FE0" w:rsidRDefault="002903D5" w14:paraId="377B651A" w14:textId="13E25FBA">
      <w:pPr>
        <w:pStyle w:val="Textoindependiente"/>
        <w:tabs>
          <w:tab w:val="left" w:pos="284"/>
        </w:tabs>
        <w:rPr>
          <w:rFonts w:ascii="Arial" w:hAnsi="Arial" w:cs="Arial"/>
          <w:sz w:val="22"/>
          <w:szCs w:val="22"/>
        </w:rPr>
      </w:pPr>
    </w:p>
    <w:p w:rsidR="00313BA9" w:rsidP="5AFEBD85" w:rsidRDefault="45042261" w14:paraId="7D773CD7" w14:textId="6E98A216">
      <w:pPr>
        <w:pStyle w:val="Textoindependiente"/>
        <w:tabs>
          <w:tab w:val="left" w:pos="284"/>
        </w:tabs>
        <w:jc w:val="center"/>
        <w:rPr>
          <w:rFonts w:ascii="Arial" w:hAnsi="Arial" w:cs="Arial"/>
          <w:b/>
          <w:bCs/>
          <w:sz w:val="21"/>
          <w:szCs w:val="21"/>
          <w:lang w:val="es-CO"/>
        </w:rPr>
      </w:pPr>
      <w:r w:rsidRPr="539F01B6">
        <w:rPr>
          <w:rFonts w:ascii="Arial" w:hAnsi="Arial" w:cs="Arial"/>
          <w:b/>
          <w:bCs/>
          <w:sz w:val="21"/>
          <w:szCs w:val="21"/>
          <w:lang w:val="es-CO"/>
        </w:rPr>
        <w:t xml:space="preserve">TASA PROMEDIO MENSUAL DEL </w:t>
      </w:r>
      <w:r w:rsidRPr="539F01B6" w:rsidR="6F527645">
        <w:rPr>
          <w:rFonts w:ascii="Arial" w:hAnsi="Arial" w:cs="Arial"/>
          <w:b/>
          <w:bCs/>
          <w:sz w:val="21"/>
          <w:szCs w:val="21"/>
          <w:lang w:val="es-CO"/>
        </w:rPr>
        <w:t>0</w:t>
      </w:r>
      <w:r w:rsidRPr="539F01B6" w:rsidR="73AEB60F">
        <w:rPr>
          <w:rFonts w:ascii="Arial" w:hAnsi="Arial" w:cs="Arial"/>
          <w:b/>
          <w:bCs/>
          <w:sz w:val="21"/>
          <w:szCs w:val="21"/>
          <w:lang w:val="es-CO"/>
        </w:rPr>
        <w:t>1</w:t>
      </w:r>
      <w:r w:rsidRPr="539F01B6" w:rsidR="5B998A15">
        <w:rPr>
          <w:rFonts w:ascii="Arial" w:hAnsi="Arial" w:cs="Arial"/>
          <w:b/>
          <w:bCs/>
          <w:sz w:val="21"/>
          <w:szCs w:val="21"/>
          <w:lang w:val="es-CO"/>
        </w:rPr>
        <w:t>/</w:t>
      </w:r>
      <w:r w:rsidR="00A7784B">
        <w:rPr>
          <w:rFonts w:ascii="Arial" w:hAnsi="Arial" w:cs="Arial"/>
          <w:b/>
          <w:bCs/>
          <w:sz w:val="21"/>
          <w:szCs w:val="21"/>
          <w:lang w:val="es-CO"/>
        </w:rPr>
        <w:t>01</w:t>
      </w:r>
      <w:r w:rsidRPr="539F01B6" w:rsidR="5B998A15">
        <w:rPr>
          <w:rFonts w:ascii="Arial" w:hAnsi="Arial" w:cs="Arial"/>
          <w:b/>
          <w:bCs/>
          <w:sz w:val="21"/>
          <w:szCs w:val="21"/>
          <w:lang w:val="es-CO"/>
        </w:rPr>
        <w:t>/202</w:t>
      </w:r>
      <w:r w:rsidR="00A7784B">
        <w:rPr>
          <w:rFonts w:ascii="Arial" w:hAnsi="Arial" w:cs="Arial"/>
          <w:b/>
          <w:bCs/>
          <w:sz w:val="21"/>
          <w:szCs w:val="21"/>
          <w:lang w:val="es-CO"/>
        </w:rPr>
        <w:t>6</w:t>
      </w:r>
      <w:r w:rsidRPr="539F01B6" w:rsidR="44152EA7">
        <w:rPr>
          <w:rFonts w:ascii="Arial" w:hAnsi="Arial" w:cs="Arial"/>
          <w:b/>
          <w:bCs/>
          <w:sz w:val="21"/>
          <w:szCs w:val="21"/>
          <w:lang w:val="es-CO"/>
        </w:rPr>
        <w:t xml:space="preserve"> </w:t>
      </w:r>
      <w:r w:rsidRPr="539F01B6" w:rsidR="5B998A15">
        <w:rPr>
          <w:rFonts w:ascii="Arial" w:hAnsi="Arial" w:cs="Arial"/>
          <w:b/>
          <w:bCs/>
          <w:sz w:val="21"/>
          <w:szCs w:val="21"/>
          <w:lang w:val="es-CO"/>
        </w:rPr>
        <w:t xml:space="preserve">AL </w:t>
      </w:r>
      <w:r w:rsidR="00D17333">
        <w:rPr>
          <w:rFonts w:ascii="Arial" w:hAnsi="Arial" w:cs="Arial"/>
          <w:b/>
          <w:bCs/>
          <w:sz w:val="21"/>
          <w:szCs w:val="21"/>
          <w:lang w:val="es-CO"/>
        </w:rPr>
        <w:t>0</w:t>
      </w:r>
      <w:r w:rsidR="00A7784B">
        <w:rPr>
          <w:rFonts w:ascii="Arial" w:hAnsi="Arial" w:cs="Arial"/>
          <w:b/>
          <w:bCs/>
          <w:sz w:val="21"/>
          <w:szCs w:val="21"/>
          <w:lang w:val="es-CO"/>
        </w:rPr>
        <w:t>1</w:t>
      </w:r>
      <w:r w:rsidRPr="539F01B6" w:rsidR="5B998A15">
        <w:rPr>
          <w:rFonts w:ascii="Arial" w:hAnsi="Arial" w:cs="Arial"/>
          <w:b/>
          <w:bCs/>
          <w:sz w:val="21"/>
          <w:szCs w:val="21"/>
          <w:lang w:val="es-CO"/>
        </w:rPr>
        <w:t>/0</w:t>
      </w:r>
      <w:r w:rsidR="00A7784B">
        <w:rPr>
          <w:rFonts w:ascii="Arial" w:hAnsi="Arial" w:cs="Arial"/>
          <w:b/>
          <w:bCs/>
          <w:sz w:val="21"/>
          <w:szCs w:val="21"/>
          <w:lang w:val="es-CO"/>
        </w:rPr>
        <w:t>6</w:t>
      </w:r>
      <w:r w:rsidRPr="539F01B6" w:rsidR="5B998A15">
        <w:rPr>
          <w:rFonts w:ascii="Arial" w:hAnsi="Arial" w:cs="Arial"/>
          <w:b/>
          <w:bCs/>
          <w:sz w:val="21"/>
          <w:szCs w:val="21"/>
          <w:lang w:val="es-CO"/>
        </w:rPr>
        <w:t>/202</w:t>
      </w:r>
      <w:r w:rsidRPr="539F01B6" w:rsidR="28FDB481">
        <w:rPr>
          <w:rFonts w:ascii="Arial" w:hAnsi="Arial" w:cs="Arial"/>
          <w:b/>
          <w:bCs/>
          <w:sz w:val="21"/>
          <w:szCs w:val="21"/>
          <w:lang w:val="es-CO"/>
        </w:rPr>
        <w:t>6</w:t>
      </w:r>
    </w:p>
    <w:p w:rsidR="002668BC" w:rsidP="2CB9E640" w:rsidRDefault="002668BC" w14:paraId="2509AF75" w14:textId="77777777">
      <w:pPr>
        <w:pStyle w:val="Textoindependiente"/>
        <w:tabs>
          <w:tab w:val="left" w:pos="284"/>
        </w:tabs>
        <w:jc w:val="center"/>
        <w:rPr>
          <w:rFonts w:ascii="Arial" w:hAnsi="Arial" w:cs="Arial"/>
          <w:b/>
          <w:bCs/>
          <w:sz w:val="21"/>
          <w:szCs w:val="21"/>
          <w:lang w:val="es-CO"/>
        </w:rPr>
      </w:pPr>
    </w:p>
    <w:p w:rsidR="002668BC" w:rsidP="2CB9E640" w:rsidRDefault="00415346" w14:paraId="25FFA58A" w14:textId="0C422544">
      <w:pPr>
        <w:pStyle w:val="Textoindependiente"/>
        <w:tabs>
          <w:tab w:val="left" w:pos="284"/>
        </w:tabs>
        <w:jc w:val="center"/>
        <w:rPr>
          <w:noProof/>
          <w:lang w:val="es-CO" w:eastAsia="es-CO"/>
        </w:rPr>
      </w:pPr>
      <w:r>
        <w:rPr>
          <w:noProof/>
          <w:lang w:val="es-CO" w:eastAsia="es-CO"/>
        </w:rPr>
        <w:drawing>
          <wp:inline distT="0" distB="0" distL="0" distR="0" wp14:anchorId="609C504F" wp14:editId="67C1BFC9">
            <wp:extent cx="4572000" cy="2743200"/>
            <wp:effectExtent l="0" t="0" r="0" b="0"/>
            <wp:docPr id="608184955" name="Gráfico 1">
              <a:extLst xmlns:a="http://schemas.openxmlformats.org/drawingml/2006/main">
                <a:ext uri="{FF2B5EF4-FFF2-40B4-BE49-F238E27FC236}">
                  <a16:creationId xmlns:a16="http://schemas.microsoft.com/office/drawing/2014/main" id="{A11DD874-BE99-1050-766A-1031750852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Pr="003D0ADA" w:rsidR="00945C43" w:rsidP="5CB1E3AC" w:rsidRDefault="6A2F0529" w14:paraId="5EFAAB8D" w14:textId="2ABFE9D0">
      <w:pPr>
        <w:spacing/>
        <w:contextualSpacing w:val="1"/>
        <w:jc w:val="both"/>
        <w:rPr>
          <w:rFonts w:ascii="Arial" w:hAnsi="Arial" w:cs="Arial"/>
          <w:sz w:val="16"/>
          <w:szCs w:val="16"/>
          <w:lang w:val="es-CO"/>
        </w:rPr>
      </w:pPr>
      <w:r w:rsidRPr="5CB1E3AC" w:rsidR="6A2F0529">
        <w:rPr>
          <w:rFonts w:ascii="Arial" w:hAnsi="Arial" w:cs="Arial"/>
          <w:sz w:val="16"/>
          <w:szCs w:val="16"/>
          <w:lang w:val="es-CO"/>
        </w:rPr>
        <w:t>Fuente</w:t>
      </w:r>
      <w:r w:rsidRPr="5CB1E3AC" w:rsidR="6A2F0529">
        <w:rPr>
          <w:rFonts w:ascii="Arial" w:hAnsi="Arial" w:cs="Arial"/>
          <w:sz w:val="21"/>
          <w:szCs w:val="21"/>
          <w:lang w:val="es-CO"/>
        </w:rPr>
        <w:t>:</w:t>
      </w:r>
      <w:r w:rsidRPr="5CB1E3AC" w:rsidR="452C8F6D">
        <w:rPr>
          <w:rFonts w:ascii="Arial" w:hAnsi="Arial" w:cs="Arial"/>
          <w:sz w:val="21"/>
          <w:szCs w:val="21"/>
          <w:lang w:val="es-CO"/>
        </w:rPr>
        <w:t xml:space="preserve"> </w:t>
      </w:r>
      <w:r w:rsidRPr="5CB1E3AC" w:rsidR="452C8F6D">
        <w:rPr>
          <w:rFonts w:ascii="Arial" w:hAnsi="Arial" w:cs="Arial"/>
          <w:sz w:val="16"/>
          <w:szCs w:val="16"/>
          <w:lang w:val="es-CO"/>
        </w:rPr>
        <w:t xml:space="preserve">Tasa Representativa del Mercado (TRM - Peso por dólar). </w:t>
      </w:r>
      <w:r w:rsidRPr="5CB1E3AC" w:rsidR="452C8F6D">
        <w:rPr>
          <w:rFonts w:ascii="Arial" w:hAnsi="Arial" w:cs="Arial"/>
          <w:sz w:val="16"/>
          <w:szCs w:val="16"/>
          <w:lang w:val="fr-FR"/>
        </w:rPr>
        <w:t xml:space="preserve">en: </w:t>
      </w:r>
      <w:hyperlink r:id="Rfade70fa2b4a4c8e">
        <w:commentRangeStart w:id="1674996121"/>
        <w:r w:rsidRPr="5CB1E3AC" w:rsidR="452C8F6D">
          <w:rPr>
            <w:rStyle w:val="Hipervnculo"/>
            <w:rFonts w:ascii="Arial" w:hAnsi="Arial" w:cs="Arial"/>
            <w:color w:val="auto"/>
            <w:sz w:val="16"/>
            <w:szCs w:val="16"/>
            <w:lang w:val="fr-FR"/>
          </w:rPr>
          <w:t>https://www.banrep.gov.co/es/estadisticas/trm</w:t>
        </w:r>
      </w:hyperlink>
      <w:commentRangeEnd w:id="1674996121"/>
      <w:r>
        <w:rPr>
          <w:rStyle w:val="CommentReference"/>
        </w:rPr>
        <w:commentReference w:id="1674996121"/>
      </w:r>
      <w:r w:rsidRPr="5CB1E3AC" w:rsidR="452C8F6D">
        <w:rPr>
          <w:rFonts w:ascii="Arial" w:hAnsi="Arial" w:cs="Arial"/>
          <w:sz w:val="16"/>
          <w:szCs w:val="16"/>
          <w:lang w:val="fr-FR"/>
        </w:rPr>
        <w:t xml:space="preserve">. </w:t>
      </w:r>
      <w:r w:rsidRPr="5CB1E3AC" w:rsidR="452C8F6D">
        <w:rPr>
          <w:rFonts w:ascii="Arial" w:hAnsi="Arial" w:cs="Arial"/>
          <w:sz w:val="16"/>
          <w:szCs w:val="16"/>
          <w:lang w:val="es-CO"/>
        </w:rPr>
        <w:t xml:space="preserve">Fecha de consulta: </w:t>
      </w:r>
      <w:r w:rsidRPr="5CB1E3AC" w:rsidR="00415346">
        <w:rPr>
          <w:rFonts w:ascii="Arial" w:hAnsi="Arial" w:cs="Arial"/>
          <w:sz w:val="16"/>
          <w:szCs w:val="16"/>
          <w:lang w:val="es-CO"/>
        </w:rPr>
        <w:t>10</w:t>
      </w:r>
      <w:r w:rsidRPr="5CB1E3AC" w:rsidR="452C8F6D">
        <w:rPr>
          <w:rFonts w:ascii="Arial" w:hAnsi="Arial" w:cs="Arial"/>
          <w:sz w:val="16"/>
          <w:szCs w:val="16"/>
          <w:lang w:val="es-CO"/>
        </w:rPr>
        <w:t xml:space="preserve"> </w:t>
      </w:r>
      <w:r w:rsidRPr="5CB1E3AC" w:rsidR="00415346">
        <w:rPr>
          <w:rFonts w:ascii="Arial" w:hAnsi="Arial" w:cs="Arial"/>
          <w:sz w:val="16"/>
          <w:szCs w:val="16"/>
          <w:lang w:val="es-CO"/>
        </w:rPr>
        <w:t>juni</w:t>
      </w:r>
      <w:r w:rsidRPr="5CB1E3AC" w:rsidR="00D17333">
        <w:rPr>
          <w:rFonts w:ascii="Arial" w:hAnsi="Arial" w:cs="Arial"/>
          <w:sz w:val="16"/>
          <w:szCs w:val="16"/>
          <w:lang w:val="es-CO"/>
        </w:rPr>
        <w:t>o</w:t>
      </w:r>
      <w:r w:rsidRPr="5CB1E3AC" w:rsidR="752537C1">
        <w:rPr>
          <w:rFonts w:ascii="Arial" w:hAnsi="Arial" w:cs="Arial"/>
          <w:sz w:val="16"/>
          <w:szCs w:val="16"/>
          <w:lang w:val="es-CO"/>
        </w:rPr>
        <w:t xml:space="preserve"> </w:t>
      </w:r>
      <w:r w:rsidRPr="5CB1E3AC" w:rsidR="452C8F6D">
        <w:rPr>
          <w:rFonts w:ascii="Arial" w:hAnsi="Arial" w:cs="Arial"/>
          <w:sz w:val="16"/>
          <w:szCs w:val="16"/>
          <w:lang w:val="es-CO"/>
        </w:rPr>
        <w:t>de 202</w:t>
      </w:r>
      <w:r w:rsidRPr="5CB1E3AC" w:rsidR="5643DF72">
        <w:rPr>
          <w:rFonts w:ascii="Arial" w:hAnsi="Arial" w:cs="Arial"/>
          <w:sz w:val="16"/>
          <w:szCs w:val="16"/>
          <w:lang w:val="es-CO"/>
        </w:rPr>
        <w:t>6.</w:t>
      </w:r>
    </w:p>
    <w:p w:rsidRPr="003D0ADA" w:rsidR="00945C43" w:rsidP="2CB9E640" w:rsidRDefault="452C8F6D" w14:paraId="67EBF253" w14:textId="4D944C4E">
      <w:pPr>
        <w:contextualSpacing/>
        <w:jc w:val="both"/>
        <w:rPr>
          <w:rFonts w:ascii="Arial" w:hAnsi="Arial" w:cs="Arial"/>
          <w:sz w:val="16"/>
          <w:szCs w:val="16"/>
          <w:lang w:val="es-CO"/>
        </w:rPr>
      </w:pPr>
      <w:r w:rsidRPr="539F01B6">
        <w:rPr>
          <w:rFonts w:ascii="Arial" w:hAnsi="Arial" w:cs="Arial"/>
          <w:sz w:val="16"/>
          <w:szCs w:val="16"/>
          <w:lang w:val="es-CO"/>
        </w:rPr>
        <w:t>.</w:t>
      </w:r>
    </w:p>
    <w:p w:rsidRPr="003D0ADA" w:rsidR="002903D5" w:rsidP="5AFEBD85" w:rsidRDefault="00415346" w14:paraId="2C7DFB42" w14:textId="3096C4EA">
      <w:pPr>
        <w:pStyle w:val="Textoindependiente"/>
        <w:tabs>
          <w:tab w:val="left" w:pos="284"/>
        </w:tabs>
        <w:jc w:val="left"/>
        <w:rPr>
          <w:rFonts w:ascii="Arial" w:hAnsi="Arial" w:cs="Arial"/>
          <w:sz w:val="16"/>
          <w:szCs w:val="16"/>
          <w:lang w:val="es-CO"/>
        </w:rPr>
      </w:pPr>
      <w:r w:rsidRPr="00415346">
        <w:rPr>
          <w:rFonts w:ascii="Arial" w:hAnsi="Arial" w:cs="Arial"/>
          <w:noProof/>
          <w:sz w:val="16"/>
          <w:szCs w:val="16"/>
          <w:lang w:val="es-CO" w:eastAsia="es-CO"/>
        </w:rPr>
        <w:drawing>
          <wp:inline distT="0" distB="0" distL="0" distR="0" wp14:anchorId="77214E7E" wp14:editId="2892287F">
            <wp:extent cx="5760720" cy="1358265"/>
            <wp:effectExtent l="0" t="0" r="0" b="0"/>
            <wp:docPr id="1076214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14629" name=""/>
                    <pic:cNvPicPr/>
                  </pic:nvPicPr>
                  <pic:blipFill>
                    <a:blip r:embed="rId38"/>
                    <a:stretch>
                      <a:fillRect/>
                    </a:stretch>
                  </pic:blipFill>
                  <pic:spPr>
                    <a:xfrm>
                      <a:off x="0" y="0"/>
                      <a:ext cx="5760720" cy="1358265"/>
                    </a:xfrm>
                    <a:prstGeom prst="rect">
                      <a:avLst/>
                    </a:prstGeom>
                  </pic:spPr>
                </pic:pic>
              </a:graphicData>
            </a:graphic>
          </wp:inline>
        </w:drawing>
      </w:r>
      <w:r w:rsidRPr="539F01B6" w:rsidR="4569216B">
        <w:rPr>
          <w:rFonts w:ascii="Arial" w:hAnsi="Arial" w:cs="Arial"/>
          <w:sz w:val="16"/>
          <w:szCs w:val="16"/>
          <w:lang w:val="es-CO"/>
        </w:rPr>
        <w:t>Fuente: Comportamiento</w:t>
      </w:r>
      <w:r w:rsidRPr="539F01B6" w:rsidR="00247B53">
        <w:rPr>
          <w:rFonts w:ascii="Arial" w:hAnsi="Arial" w:cs="Arial"/>
          <w:sz w:val="16"/>
          <w:szCs w:val="16"/>
          <w:lang w:val="es-CO"/>
        </w:rPr>
        <w:t xml:space="preserve"> del mercado del dólar durante el día</w:t>
      </w:r>
      <w:r w:rsidRPr="539F01B6" w:rsidR="4569216B">
        <w:rPr>
          <w:rFonts w:ascii="Arial" w:hAnsi="Arial" w:cs="Arial"/>
          <w:sz w:val="16"/>
          <w:szCs w:val="16"/>
          <w:lang w:val="es-CO"/>
        </w:rPr>
        <w:t xml:space="preserve"> </w:t>
      </w:r>
      <w:hyperlink w:anchor="/" r:id="rId39">
        <w:r w:rsidRPr="539F01B6" w:rsidR="764AE15E">
          <w:rPr>
            <w:rStyle w:val="Hipervnculo"/>
            <w:rFonts w:ascii="Arial" w:hAnsi="Arial" w:cs="Arial"/>
            <w:sz w:val="16"/>
            <w:szCs w:val="16"/>
            <w:lang w:val="es-CO"/>
          </w:rPr>
          <w:t>https://suameca.banrep.gov.co/indicadores-economicos-del-dia/#/</w:t>
        </w:r>
      </w:hyperlink>
      <w:r w:rsidRPr="539F01B6" w:rsidR="4569216B">
        <w:rPr>
          <w:rFonts w:ascii="Arial" w:hAnsi="Arial" w:cs="Arial"/>
          <w:sz w:val="16"/>
          <w:szCs w:val="16"/>
          <w:lang w:val="es-CO"/>
        </w:rPr>
        <w:t xml:space="preserve"> </w:t>
      </w:r>
      <w:r w:rsidRPr="539F01B6" w:rsidR="00247B53">
        <w:rPr>
          <w:rFonts w:ascii="Arial" w:hAnsi="Arial" w:cs="Arial"/>
          <w:sz w:val="16"/>
          <w:szCs w:val="16"/>
          <w:lang w:val="es-CO"/>
        </w:rPr>
        <w:t xml:space="preserve">Fecha de consulta: </w:t>
      </w:r>
      <w:r>
        <w:rPr>
          <w:rFonts w:ascii="Arial" w:hAnsi="Arial" w:cs="Arial"/>
          <w:sz w:val="16"/>
          <w:szCs w:val="16"/>
          <w:lang w:val="es-CO"/>
        </w:rPr>
        <w:t>10</w:t>
      </w:r>
      <w:r w:rsidRPr="539F01B6" w:rsidR="6F527645">
        <w:rPr>
          <w:rFonts w:ascii="Arial" w:hAnsi="Arial" w:cs="Arial"/>
          <w:sz w:val="16"/>
          <w:szCs w:val="16"/>
          <w:lang w:val="es-CO"/>
        </w:rPr>
        <w:t xml:space="preserve"> </w:t>
      </w:r>
      <w:r w:rsidRPr="539F01B6" w:rsidR="00247B53">
        <w:rPr>
          <w:rFonts w:ascii="Arial" w:hAnsi="Arial" w:cs="Arial"/>
          <w:sz w:val="16"/>
          <w:szCs w:val="16"/>
          <w:lang w:val="es-CO"/>
        </w:rPr>
        <w:t xml:space="preserve">de </w:t>
      </w:r>
      <w:r>
        <w:rPr>
          <w:rFonts w:ascii="Arial" w:hAnsi="Arial" w:cs="Arial"/>
          <w:sz w:val="16"/>
          <w:szCs w:val="16"/>
          <w:lang w:val="es-CO"/>
        </w:rPr>
        <w:t>juni</w:t>
      </w:r>
      <w:r w:rsidR="0078660D">
        <w:rPr>
          <w:rFonts w:ascii="Arial" w:hAnsi="Arial" w:cs="Arial"/>
          <w:sz w:val="16"/>
          <w:szCs w:val="16"/>
          <w:lang w:val="es-CO"/>
        </w:rPr>
        <w:t>o</w:t>
      </w:r>
      <w:r w:rsidRPr="539F01B6" w:rsidR="6F527645">
        <w:rPr>
          <w:rFonts w:ascii="Arial" w:hAnsi="Arial" w:cs="Arial"/>
          <w:sz w:val="16"/>
          <w:szCs w:val="16"/>
          <w:lang w:val="es-CO"/>
        </w:rPr>
        <w:t xml:space="preserve"> </w:t>
      </w:r>
      <w:r w:rsidRPr="539F01B6" w:rsidR="00247B53">
        <w:rPr>
          <w:rFonts w:ascii="Arial" w:hAnsi="Arial" w:cs="Arial"/>
          <w:sz w:val="16"/>
          <w:szCs w:val="16"/>
          <w:lang w:val="es-CO"/>
        </w:rPr>
        <w:t>de 202</w:t>
      </w:r>
      <w:r w:rsidRPr="539F01B6" w:rsidR="696CAD7A">
        <w:rPr>
          <w:rFonts w:ascii="Arial" w:hAnsi="Arial" w:cs="Arial"/>
          <w:sz w:val="16"/>
          <w:szCs w:val="16"/>
          <w:lang w:val="es-CO"/>
        </w:rPr>
        <w:t>6</w:t>
      </w:r>
      <w:r w:rsidRPr="539F01B6" w:rsidR="00247B53">
        <w:rPr>
          <w:rFonts w:ascii="Arial" w:hAnsi="Arial" w:cs="Arial"/>
          <w:sz w:val="16"/>
          <w:szCs w:val="16"/>
          <w:lang w:val="es-CO"/>
        </w:rPr>
        <w:t>.</w:t>
      </w:r>
    </w:p>
    <w:p w:rsidRPr="003D0ADA" w:rsidR="00F27724" w:rsidP="00D86FE0" w:rsidRDefault="00F27724" w14:paraId="790C02A4" w14:textId="1876E1B6">
      <w:pPr>
        <w:pStyle w:val="Textoindependiente"/>
        <w:tabs>
          <w:tab w:val="left" w:pos="284"/>
        </w:tabs>
        <w:rPr>
          <w:rFonts w:ascii="Arial" w:hAnsi="Arial" w:cs="Arial"/>
          <w:sz w:val="16"/>
          <w:szCs w:val="16"/>
          <w:lang w:val="es-CO"/>
        </w:rPr>
      </w:pPr>
    </w:p>
    <w:p w:rsidRPr="003D0ADA" w:rsidR="00F27724" w:rsidP="539F01B6" w:rsidRDefault="00F27724" w14:paraId="24409E73" w14:textId="386BF6B6">
      <w:pPr>
        <w:pStyle w:val="Textoindependiente"/>
        <w:tabs>
          <w:tab w:val="left" w:pos="284"/>
        </w:tabs>
        <w:rPr>
          <w:rFonts w:ascii="Arial" w:hAnsi="Arial" w:cs="Arial"/>
          <w:sz w:val="16"/>
          <w:szCs w:val="16"/>
          <w:lang w:val="es-CO"/>
        </w:rPr>
      </w:pPr>
    </w:p>
    <w:p w:rsidRPr="003D0ADA" w:rsidR="00F27724" w:rsidP="539F01B6" w:rsidRDefault="00F27724" w14:paraId="5F67A01F" w14:textId="54F65C8C">
      <w:pPr>
        <w:pStyle w:val="Textoindependiente"/>
        <w:tabs>
          <w:tab w:val="left" w:pos="284"/>
        </w:tabs>
        <w:rPr>
          <w:rFonts w:ascii="Arial" w:hAnsi="Arial" w:cs="Arial"/>
          <w:sz w:val="16"/>
          <w:szCs w:val="16"/>
          <w:lang w:val="es-CO"/>
        </w:rPr>
      </w:pPr>
    </w:p>
    <w:p w:rsidRPr="003D0ADA" w:rsidR="00F27724" w:rsidP="539F01B6" w:rsidRDefault="76A02006" w14:paraId="4DBB1530" w14:textId="4B069370">
      <w:pPr>
        <w:spacing w:after="160" w:line="257" w:lineRule="auto"/>
        <w:rPr>
          <w:rFonts w:ascii="Arial" w:hAnsi="Arial" w:eastAsia="Arial" w:cs="Arial"/>
          <w:sz w:val="21"/>
          <w:szCs w:val="21"/>
          <w:lang w:val="es-CO"/>
        </w:rPr>
      </w:pPr>
      <w:r w:rsidRPr="539F01B6">
        <w:rPr>
          <w:rFonts w:ascii="Arial" w:hAnsi="Arial" w:eastAsia="Arial" w:cs="Arial"/>
          <w:b/>
          <w:bCs/>
          <w:sz w:val="21"/>
          <w:szCs w:val="21"/>
          <w:lang w:val="es-CO"/>
        </w:rPr>
        <w:t>INFORME DE IMPORTACIONES Y BALANZA COMERCIAL DE COLOMBIA</w:t>
      </w:r>
    </w:p>
    <w:p w:rsidRPr="00803236" w:rsidR="00F27724" w:rsidP="00D86FE0" w:rsidRDefault="76A02006" w14:paraId="30F6B20E" w14:textId="20DC724E">
      <w:pPr>
        <w:pStyle w:val="Textoindependiente"/>
        <w:tabs>
          <w:tab w:val="left" w:pos="284"/>
        </w:tabs>
        <w:rPr>
          <w:rFonts w:ascii="Arial" w:hAnsi="Arial" w:eastAsia="Arial" w:cs="Arial"/>
          <w:sz w:val="21"/>
          <w:szCs w:val="21"/>
        </w:rPr>
      </w:pPr>
      <w:r w:rsidRPr="00803236">
        <w:rPr>
          <w:rFonts w:ascii="Arial" w:hAnsi="Arial" w:eastAsia="Arial" w:cs="Arial"/>
          <w:sz w:val="21"/>
          <w:szCs w:val="21"/>
        </w:rPr>
        <w:t xml:space="preserve">Según el informe de Comercio, Industria y Turismo en </w:t>
      </w:r>
      <w:r w:rsidR="002B7D51">
        <w:rPr>
          <w:rFonts w:ascii="Arial" w:hAnsi="Arial" w:eastAsia="Arial" w:cs="Arial"/>
          <w:sz w:val="21"/>
          <w:szCs w:val="21"/>
        </w:rPr>
        <w:t>marzo</w:t>
      </w:r>
      <w:r w:rsidRPr="00803236">
        <w:rPr>
          <w:rFonts w:ascii="Arial" w:hAnsi="Arial" w:eastAsia="Arial" w:cs="Arial"/>
          <w:sz w:val="21"/>
          <w:szCs w:val="21"/>
        </w:rPr>
        <w:t xml:space="preserve"> de 2026, </w:t>
      </w:r>
      <w:r w:rsidRPr="002B7D51" w:rsidR="002B7D51">
        <w:rPr>
          <w:rFonts w:ascii="Arial" w:hAnsi="Arial" w:eastAsia="Arial" w:cs="Arial"/>
          <w:sz w:val="21"/>
          <w:szCs w:val="21"/>
        </w:rPr>
        <w:t>las importaciones alcanzaron US$6.161 millones CIF con un aumento de 11,1% con respecto al mismo mes de 2025 y presentaron un crecimiento de 7,3% con respecto a febrero de 2026. La variación 12 meses se ubicó en 9,5%. Por CUODE, las importaciones de bienes de consumo registraron una variación de 42,7% con respecto al mismo mes del año anterior y contribuyeron con 10,6 puntos porcentuales a la variación de marzo, las importaciones de bienes de capital y materiales de construcción crecieron 9,9%, mientras que las importaciones de materias primas y productos intermedios disminuyeron 4,0% y aportaron -2,0 puntos porcentuales a la variación del mes.</w:t>
      </w:r>
    </w:p>
    <w:p w:rsidRPr="003D0ADA" w:rsidR="00F27724" w:rsidP="539F01B6" w:rsidRDefault="00F27724" w14:paraId="48BA07A7" w14:textId="5DA3A9F3">
      <w:pPr>
        <w:pStyle w:val="Textoindependiente"/>
        <w:tabs>
          <w:tab w:val="left" w:pos="284"/>
        </w:tabs>
        <w:rPr>
          <w:rFonts w:asciiTheme="minorHAnsi" w:hAnsiTheme="minorHAnsi" w:eastAsiaTheme="minorEastAsia" w:cstheme="minorBidi"/>
          <w:sz w:val="22"/>
          <w:szCs w:val="22"/>
          <w:lang w:val="es-CO"/>
        </w:rPr>
      </w:pPr>
    </w:p>
    <w:p w:rsidRPr="00803236" w:rsidR="00F27724" w:rsidP="00D86FE0" w:rsidRDefault="697845F9" w14:paraId="72A8C8C5" w14:textId="6589F4AD">
      <w:pPr>
        <w:pStyle w:val="Textoindependiente"/>
        <w:tabs>
          <w:tab w:val="left" w:pos="284"/>
        </w:tabs>
        <w:rPr>
          <w:rFonts w:ascii="Arial" w:hAnsi="Arial" w:eastAsia="Arial" w:cs="Arial"/>
          <w:sz w:val="21"/>
          <w:szCs w:val="21"/>
        </w:rPr>
      </w:pPr>
      <w:r w:rsidRPr="00803236">
        <w:rPr>
          <w:rFonts w:ascii="Arial" w:hAnsi="Arial" w:eastAsia="Arial" w:cs="Arial"/>
          <w:sz w:val="21"/>
          <w:szCs w:val="21"/>
        </w:rPr>
        <w:t>Tabla 13 del Sector</w:t>
      </w:r>
    </w:p>
    <w:p w:rsidR="00F27724" w:rsidP="00D86FE0" w:rsidRDefault="00B62B13" w14:paraId="59DB4D62" w14:textId="08BE8230">
      <w:pPr>
        <w:pStyle w:val="Textoindependiente"/>
        <w:tabs>
          <w:tab w:val="left" w:pos="284"/>
        </w:tabs>
        <w:rPr>
          <w:rFonts w:ascii="Arial" w:hAnsi="Arial" w:eastAsia="Arial" w:cs="Arial"/>
          <w:sz w:val="21"/>
          <w:szCs w:val="21"/>
        </w:rPr>
      </w:pPr>
      <w:r w:rsidRPr="00B62B13">
        <w:rPr>
          <w:rFonts w:ascii="Arial" w:hAnsi="Arial" w:eastAsia="Arial" w:cs="Arial"/>
          <w:noProof/>
          <w:sz w:val="21"/>
          <w:szCs w:val="21"/>
          <w:lang w:val="es-CO" w:eastAsia="es-CO"/>
        </w:rPr>
        <w:drawing>
          <wp:inline distT="0" distB="0" distL="0" distR="0" wp14:anchorId="0F950E95" wp14:editId="13147209">
            <wp:extent cx="5760720" cy="2298700"/>
            <wp:effectExtent l="0" t="0" r="0" b="6350"/>
            <wp:docPr id="787760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60209" name=""/>
                    <pic:cNvPicPr/>
                  </pic:nvPicPr>
                  <pic:blipFill>
                    <a:blip r:embed="rId40"/>
                    <a:stretch>
                      <a:fillRect/>
                    </a:stretch>
                  </pic:blipFill>
                  <pic:spPr>
                    <a:xfrm>
                      <a:off x="0" y="0"/>
                      <a:ext cx="5760720" cy="2298700"/>
                    </a:xfrm>
                    <a:prstGeom prst="rect">
                      <a:avLst/>
                    </a:prstGeom>
                  </pic:spPr>
                </pic:pic>
              </a:graphicData>
            </a:graphic>
          </wp:inline>
        </w:drawing>
      </w:r>
    </w:p>
    <w:p w:rsidRPr="00803236" w:rsidR="00803236" w:rsidP="00D86FE0" w:rsidRDefault="00803236" w14:paraId="70670950" w14:textId="3AD21849">
      <w:pPr>
        <w:pStyle w:val="Textoindependiente"/>
        <w:tabs>
          <w:tab w:val="left" w:pos="284"/>
        </w:tabs>
        <w:rPr>
          <w:rStyle w:val="eop"/>
          <w:rFonts w:cs="Tahoma"/>
          <w:sz w:val="14"/>
          <w:szCs w:val="16"/>
          <w:shd w:val="clear" w:color="auto" w:fill="FFFFFF"/>
        </w:rPr>
      </w:pPr>
      <w:r w:rsidRPr="00803236">
        <w:rPr>
          <w:rStyle w:val="normaltextrun"/>
          <w:rFonts w:cs="Tahoma"/>
          <w:color w:val="000000"/>
          <w:sz w:val="14"/>
          <w:szCs w:val="16"/>
          <w:shd w:val="clear" w:color="auto" w:fill="FFFFFF"/>
        </w:rPr>
        <w:t xml:space="preserve">Informe de importaciones y balanza comercial de Colombia mes </w:t>
      </w:r>
      <w:r w:rsidR="002B7D51">
        <w:rPr>
          <w:rStyle w:val="normaltextrun"/>
          <w:rFonts w:cs="Tahoma"/>
          <w:color w:val="000000"/>
          <w:sz w:val="14"/>
          <w:szCs w:val="16"/>
          <w:shd w:val="clear" w:color="auto" w:fill="FFFFFF"/>
        </w:rPr>
        <w:t>marzo</w:t>
      </w:r>
      <w:r w:rsidRPr="00803236">
        <w:rPr>
          <w:rStyle w:val="normaltextrun"/>
          <w:rFonts w:cs="Tahoma"/>
          <w:color w:val="000000"/>
          <w:sz w:val="14"/>
          <w:szCs w:val="16"/>
          <w:shd w:val="clear" w:color="auto" w:fill="FFFFFF"/>
        </w:rPr>
        <w:t xml:space="preserve"> 2026 -  Fuente: </w:t>
      </w:r>
      <w:hyperlink w:tgtFrame="_blank" w:history="1" r:id="rId41">
        <w:r w:rsidRPr="00803236">
          <w:rPr>
            <w:rStyle w:val="normaltextrun"/>
            <w:rFonts w:ascii="Segoe UI" w:hAnsi="Segoe UI" w:cs="Segoe UI"/>
            <w:color w:val="0000EE"/>
            <w:sz w:val="12"/>
            <w:szCs w:val="14"/>
            <w:u w:val="single"/>
            <w:shd w:val="clear" w:color="auto" w:fill="FFFFFF"/>
          </w:rPr>
          <w:t>https://www.mincit.gov.co/estudios-economicos/estadisticas-e-informes/informes-de-importaciones-colombianas-y-balanza-co</w:t>
        </w:r>
      </w:hyperlink>
      <w:r w:rsidRPr="00803236">
        <w:rPr>
          <w:rStyle w:val="normaltextrun"/>
          <w:rFonts w:ascii="Segoe UI" w:hAnsi="Segoe UI" w:cs="Segoe UI"/>
          <w:color w:val="0000EE"/>
          <w:sz w:val="12"/>
          <w:szCs w:val="14"/>
          <w:shd w:val="clear" w:color="auto" w:fill="FFFFFF"/>
        </w:rPr>
        <w:t> </w:t>
      </w:r>
      <w:r w:rsidRPr="00803236">
        <w:rPr>
          <w:rStyle w:val="normaltextrun"/>
          <w:rFonts w:cs="Tahoma"/>
          <w:sz w:val="14"/>
          <w:szCs w:val="16"/>
          <w:shd w:val="clear" w:color="auto" w:fill="FFFFFF"/>
        </w:rPr>
        <w:t xml:space="preserve">Fecha Consulta: </w:t>
      </w:r>
      <w:r w:rsidR="002B7D51">
        <w:rPr>
          <w:rStyle w:val="normaltextrun"/>
          <w:rFonts w:cs="Tahoma"/>
          <w:sz w:val="14"/>
          <w:szCs w:val="16"/>
          <w:shd w:val="clear" w:color="auto" w:fill="FFFFFF"/>
        </w:rPr>
        <w:t>10</w:t>
      </w:r>
      <w:r w:rsidRPr="00803236">
        <w:rPr>
          <w:rStyle w:val="normaltextrun"/>
          <w:rFonts w:cs="Tahoma"/>
          <w:sz w:val="14"/>
          <w:szCs w:val="16"/>
          <w:shd w:val="clear" w:color="auto" w:fill="FFFFFF"/>
        </w:rPr>
        <w:t xml:space="preserve"> de </w:t>
      </w:r>
      <w:r w:rsidR="002B7D51">
        <w:rPr>
          <w:rStyle w:val="normaltextrun"/>
          <w:rFonts w:cs="Tahoma"/>
          <w:sz w:val="14"/>
          <w:szCs w:val="16"/>
          <w:shd w:val="clear" w:color="auto" w:fill="FFFFFF"/>
        </w:rPr>
        <w:t>junio</w:t>
      </w:r>
      <w:r w:rsidRPr="00803236">
        <w:rPr>
          <w:rStyle w:val="normaltextrun"/>
          <w:rFonts w:cs="Tahoma"/>
          <w:sz w:val="14"/>
          <w:szCs w:val="16"/>
          <w:shd w:val="clear" w:color="auto" w:fill="FFFFFF"/>
        </w:rPr>
        <w:t xml:space="preserve"> de 2026</w:t>
      </w:r>
      <w:r w:rsidRPr="00803236">
        <w:rPr>
          <w:rStyle w:val="eop"/>
          <w:rFonts w:cs="Tahoma"/>
          <w:sz w:val="14"/>
          <w:szCs w:val="16"/>
          <w:shd w:val="clear" w:color="auto" w:fill="FFFFFF"/>
        </w:rPr>
        <w:t> </w:t>
      </w:r>
    </w:p>
    <w:p w:rsidRPr="00803236" w:rsidR="00803236" w:rsidP="00D86FE0" w:rsidRDefault="00803236" w14:paraId="509A812F" w14:textId="77777777">
      <w:pPr>
        <w:pStyle w:val="Textoindependiente"/>
        <w:tabs>
          <w:tab w:val="left" w:pos="284"/>
        </w:tabs>
        <w:rPr>
          <w:rFonts w:ascii="Arial" w:hAnsi="Arial" w:eastAsia="Arial" w:cs="Arial"/>
          <w:sz w:val="21"/>
          <w:szCs w:val="21"/>
        </w:rPr>
      </w:pPr>
    </w:p>
    <w:p w:rsidRPr="00803236" w:rsidR="00F27724" w:rsidP="00D86FE0" w:rsidRDefault="003260AD" w14:paraId="76E9854F" w14:textId="4A441CFB">
      <w:pPr>
        <w:pStyle w:val="Textoindependiente"/>
        <w:tabs>
          <w:tab w:val="left" w:pos="284"/>
        </w:tabs>
        <w:rPr>
          <w:rFonts w:ascii="Arial" w:hAnsi="Arial" w:eastAsia="Arial" w:cs="Arial"/>
          <w:sz w:val="21"/>
          <w:szCs w:val="21"/>
        </w:rPr>
      </w:pPr>
      <w:r w:rsidRPr="003260AD">
        <w:rPr>
          <w:rFonts w:ascii="Arial" w:hAnsi="Arial" w:eastAsia="Arial" w:cs="Arial"/>
          <w:sz w:val="21"/>
          <w:szCs w:val="21"/>
        </w:rPr>
        <w:t>El comportamiento positivo lo explicó la dinámica de las importaciones de bienes de consumo que registraron una variación de 42,7% con respecto al mismo mes del año anterior y contribuyeron con 10,6 puntos porcentuales a la variación de marzo, las importaciones de bienes de capital y materiales de construcción crecieron 9,9%, mientras que las importaciones de materias primas y productos intermedios disminuyeron 4,0% y aportaron -2,0 puntos porcentuales a la variación del mes.</w:t>
      </w:r>
    </w:p>
    <w:p w:rsidRPr="00803236" w:rsidR="00F27724" w:rsidP="539F01B6" w:rsidRDefault="00F27724" w14:paraId="68E687FA" w14:textId="7C77EF74">
      <w:pPr>
        <w:pStyle w:val="Textoindependiente"/>
        <w:tabs>
          <w:tab w:val="left" w:pos="284"/>
        </w:tabs>
        <w:rPr>
          <w:rFonts w:ascii="Arial" w:hAnsi="Arial" w:eastAsia="Arial" w:cs="Arial"/>
          <w:sz w:val="21"/>
          <w:szCs w:val="21"/>
        </w:rPr>
      </w:pPr>
    </w:p>
    <w:p w:rsidRPr="00803236" w:rsidR="00F27724" w:rsidP="00D86FE0" w:rsidRDefault="697845F9" w14:paraId="2DCFA554" w14:textId="39BAE65B">
      <w:pPr>
        <w:pStyle w:val="Textoindependiente"/>
        <w:tabs>
          <w:tab w:val="left" w:pos="284"/>
        </w:tabs>
        <w:rPr>
          <w:rFonts w:ascii="Arial" w:hAnsi="Arial" w:eastAsia="Arial" w:cs="Arial"/>
          <w:sz w:val="21"/>
          <w:szCs w:val="21"/>
        </w:rPr>
      </w:pPr>
      <w:r w:rsidRPr="00803236">
        <w:rPr>
          <w:rFonts w:ascii="Arial" w:hAnsi="Arial" w:eastAsia="Arial" w:cs="Arial"/>
          <w:sz w:val="21"/>
          <w:szCs w:val="21"/>
        </w:rPr>
        <w:t>Tabla 14 del Sector</w:t>
      </w:r>
    </w:p>
    <w:p w:rsidRPr="003D0ADA" w:rsidR="00F27724" w:rsidP="00D86FE0" w:rsidRDefault="00733454" w14:paraId="24B80864" w14:textId="2AD36659">
      <w:pPr>
        <w:pStyle w:val="Textoindependiente"/>
        <w:tabs>
          <w:tab w:val="left" w:pos="284"/>
        </w:tabs>
      </w:pPr>
      <w:r w:rsidRPr="00733454">
        <w:rPr>
          <w:noProof/>
          <w:lang w:val="es-CO" w:eastAsia="es-CO"/>
        </w:rPr>
        <w:drawing>
          <wp:inline distT="0" distB="0" distL="0" distR="0" wp14:anchorId="0B0A3C00" wp14:editId="55D23F9A">
            <wp:extent cx="5760720" cy="3049270"/>
            <wp:effectExtent l="0" t="0" r="0" b="0"/>
            <wp:docPr id="2084358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58104" name=""/>
                    <pic:cNvPicPr/>
                  </pic:nvPicPr>
                  <pic:blipFill>
                    <a:blip r:embed="rId42"/>
                    <a:stretch>
                      <a:fillRect/>
                    </a:stretch>
                  </pic:blipFill>
                  <pic:spPr>
                    <a:xfrm>
                      <a:off x="0" y="0"/>
                      <a:ext cx="5760720" cy="3049270"/>
                    </a:xfrm>
                    <a:prstGeom prst="rect">
                      <a:avLst/>
                    </a:prstGeom>
                  </pic:spPr>
                </pic:pic>
              </a:graphicData>
            </a:graphic>
          </wp:inline>
        </w:drawing>
      </w:r>
    </w:p>
    <w:p w:rsidRPr="00803236" w:rsidR="00803236" w:rsidP="00803236" w:rsidRDefault="00803236" w14:paraId="116517A2" w14:textId="4C0EFA30">
      <w:pPr>
        <w:pStyle w:val="Textoindependiente"/>
        <w:tabs>
          <w:tab w:val="left" w:pos="284"/>
        </w:tabs>
        <w:rPr>
          <w:rStyle w:val="eop"/>
          <w:rFonts w:cs="Tahoma"/>
          <w:sz w:val="14"/>
          <w:szCs w:val="16"/>
          <w:shd w:val="clear" w:color="auto" w:fill="FFFFFF"/>
        </w:rPr>
      </w:pPr>
      <w:r w:rsidRPr="00803236">
        <w:rPr>
          <w:rStyle w:val="normaltextrun"/>
          <w:rFonts w:cs="Tahoma"/>
          <w:color w:val="000000"/>
          <w:sz w:val="14"/>
          <w:szCs w:val="16"/>
          <w:shd w:val="clear" w:color="auto" w:fill="FFFFFF"/>
        </w:rPr>
        <w:t xml:space="preserve">Informe de importaciones y balanza comercial de Colombia mes </w:t>
      </w:r>
      <w:r w:rsidR="00733454">
        <w:rPr>
          <w:rStyle w:val="normaltextrun"/>
          <w:rFonts w:cs="Tahoma"/>
          <w:color w:val="000000"/>
          <w:sz w:val="14"/>
          <w:szCs w:val="16"/>
          <w:shd w:val="clear" w:color="auto" w:fill="FFFFFF"/>
        </w:rPr>
        <w:t>marzo</w:t>
      </w:r>
      <w:r w:rsidRPr="00803236">
        <w:rPr>
          <w:rStyle w:val="normaltextrun"/>
          <w:rFonts w:cs="Tahoma"/>
          <w:color w:val="000000"/>
          <w:sz w:val="14"/>
          <w:szCs w:val="16"/>
          <w:shd w:val="clear" w:color="auto" w:fill="FFFFFF"/>
        </w:rPr>
        <w:t xml:space="preserve"> 2026 -  Fuente: </w:t>
      </w:r>
      <w:hyperlink w:tgtFrame="_blank" w:history="1" r:id="rId43">
        <w:r w:rsidRPr="00803236">
          <w:rPr>
            <w:rStyle w:val="normaltextrun"/>
            <w:rFonts w:ascii="Segoe UI" w:hAnsi="Segoe UI" w:cs="Segoe UI"/>
            <w:color w:val="0000EE"/>
            <w:sz w:val="12"/>
            <w:szCs w:val="14"/>
            <w:u w:val="single"/>
            <w:shd w:val="clear" w:color="auto" w:fill="FFFFFF"/>
          </w:rPr>
          <w:t>https://www.mincit.gov.co/estudios-economicos/estadisticas-e-informes/informes-de-importaciones-colombianas-y-balanza-co</w:t>
        </w:r>
      </w:hyperlink>
      <w:r w:rsidRPr="00803236">
        <w:rPr>
          <w:rStyle w:val="normaltextrun"/>
          <w:rFonts w:ascii="Segoe UI" w:hAnsi="Segoe UI" w:cs="Segoe UI"/>
          <w:color w:val="0000EE"/>
          <w:sz w:val="12"/>
          <w:szCs w:val="14"/>
          <w:shd w:val="clear" w:color="auto" w:fill="FFFFFF"/>
        </w:rPr>
        <w:t> </w:t>
      </w:r>
      <w:r w:rsidRPr="00803236">
        <w:rPr>
          <w:rStyle w:val="normaltextrun"/>
          <w:rFonts w:cs="Tahoma"/>
          <w:sz w:val="14"/>
          <w:szCs w:val="16"/>
          <w:shd w:val="clear" w:color="auto" w:fill="FFFFFF"/>
        </w:rPr>
        <w:t xml:space="preserve">Fecha Consulta: </w:t>
      </w:r>
      <w:r w:rsidR="00733454">
        <w:rPr>
          <w:rStyle w:val="normaltextrun"/>
          <w:rFonts w:cs="Tahoma"/>
          <w:sz w:val="14"/>
          <w:szCs w:val="16"/>
          <w:shd w:val="clear" w:color="auto" w:fill="FFFFFF"/>
        </w:rPr>
        <w:t>10</w:t>
      </w:r>
      <w:r w:rsidRPr="00803236">
        <w:rPr>
          <w:rStyle w:val="normaltextrun"/>
          <w:rFonts w:cs="Tahoma"/>
          <w:sz w:val="14"/>
          <w:szCs w:val="16"/>
          <w:shd w:val="clear" w:color="auto" w:fill="FFFFFF"/>
        </w:rPr>
        <w:t xml:space="preserve"> de </w:t>
      </w:r>
      <w:r w:rsidR="00733454">
        <w:rPr>
          <w:rStyle w:val="normaltextrun"/>
          <w:rFonts w:cs="Tahoma"/>
          <w:sz w:val="14"/>
          <w:szCs w:val="16"/>
          <w:shd w:val="clear" w:color="auto" w:fill="FFFFFF"/>
        </w:rPr>
        <w:t>juni</w:t>
      </w:r>
      <w:r w:rsidR="0078660D">
        <w:rPr>
          <w:rStyle w:val="normaltextrun"/>
          <w:rFonts w:cs="Tahoma"/>
          <w:sz w:val="14"/>
          <w:szCs w:val="16"/>
          <w:shd w:val="clear" w:color="auto" w:fill="FFFFFF"/>
        </w:rPr>
        <w:t>o</w:t>
      </w:r>
      <w:r w:rsidRPr="00803236">
        <w:rPr>
          <w:rStyle w:val="normaltextrun"/>
          <w:rFonts w:cs="Tahoma"/>
          <w:sz w:val="14"/>
          <w:szCs w:val="16"/>
          <w:shd w:val="clear" w:color="auto" w:fill="FFFFFF"/>
        </w:rPr>
        <w:t xml:space="preserve"> de 2026</w:t>
      </w:r>
      <w:r w:rsidRPr="00803236">
        <w:rPr>
          <w:rStyle w:val="eop"/>
          <w:rFonts w:cs="Tahoma"/>
          <w:sz w:val="14"/>
          <w:szCs w:val="16"/>
          <w:shd w:val="clear" w:color="auto" w:fill="FFFFFF"/>
        </w:rPr>
        <w:t> </w:t>
      </w:r>
    </w:p>
    <w:p w:rsidRPr="003D0ADA" w:rsidR="00F27724" w:rsidP="539F01B6" w:rsidRDefault="00F27724" w14:paraId="7A3FCCBA" w14:textId="78EB4F83">
      <w:pPr>
        <w:pStyle w:val="Textoindependiente"/>
        <w:tabs>
          <w:tab w:val="left" w:pos="284"/>
        </w:tabs>
        <w:rPr>
          <w:rFonts w:ascii="Arial" w:hAnsi="Arial" w:cs="Arial"/>
          <w:sz w:val="16"/>
          <w:szCs w:val="16"/>
          <w:lang w:val="es-CO"/>
        </w:rPr>
      </w:pPr>
    </w:p>
    <w:p w:rsidRPr="003D0ADA" w:rsidR="00F27724" w:rsidP="539F01B6" w:rsidRDefault="00F27724" w14:paraId="5AF455B1" w14:textId="6F934A64">
      <w:pPr>
        <w:pStyle w:val="Textoindependiente"/>
        <w:tabs>
          <w:tab w:val="left" w:pos="284"/>
        </w:tabs>
        <w:rPr>
          <w:rFonts w:ascii="Arial" w:hAnsi="Arial" w:cs="Arial"/>
          <w:sz w:val="16"/>
          <w:szCs w:val="16"/>
          <w:lang w:val="es-CO"/>
        </w:rPr>
      </w:pPr>
    </w:p>
    <w:p w:rsidRPr="00803236" w:rsidR="00F27724" w:rsidP="00D86FE0" w:rsidRDefault="06CCC796" w14:paraId="332F59E0" w14:textId="06430684">
      <w:pPr>
        <w:pStyle w:val="Textoindependiente"/>
        <w:tabs>
          <w:tab w:val="left" w:pos="284"/>
        </w:tabs>
        <w:rPr>
          <w:rFonts w:ascii="Arial" w:hAnsi="Arial" w:eastAsia="Arial" w:cs="Arial"/>
          <w:sz w:val="21"/>
          <w:szCs w:val="21"/>
        </w:rPr>
      </w:pPr>
      <w:r w:rsidRPr="00803236">
        <w:rPr>
          <w:rFonts w:ascii="Arial" w:hAnsi="Arial" w:eastAsia="Arial" w:cs="Arial"/>
          <w:sz w:val="21"/>
          <w:szCs w:val="21"/>
        </w:rPr>
        <w:t>Para medir el nivel de impacto en las importaciones realizadas a Colombia en las siguientes graficas podemos observar cómo los principales proveedores fueron: China, Estados Unidos, Unión Europea, México y Brasil. Estos cinco orígenes participaron con el 73,0% del total importado. Así mismo, Las contribuciones positivas correspondieron a las importaciones originarias de China, Unión Europea, México, Japón, Corea del Sur, Vietnam, Bolivia y Argentina, entre otros. Las contribuciones negativas las generaron las importaciones provenientes de Estados Unidos, Trinidad y Tobago, Canadá, Chile y Rusia, entre las más significativas</w:t>
      </w:r>
      <w:r w:rsidRPr="00803236" w:rsidR="418B014F">
        <w:rPr>
          <w:rFonts w:ascii="Arial" w:hAnsi="Arial" w:eastAsia="Arial" w:cs="Arial"/>
          <w:sz w:val="21"/>
          <w:szCs w:val="21"/>
        </w:rPr>
        <w:t>.</w:t>
      </w:r>
    </w:p>
    <w:p w:rsidRPr="00803236" w:rsidR="00F27724" w:rsidP="539F01B6" w:rsidRDefault="00F27724" w14:paraId="7A976140" w14:textId="705A0C99">
      <w:pPr>
        <w:pStyle w:val="Textoindependiente"/>
        <w:tabs>
          <w:tab w:val="left" w:pos="284"/>
        </w:tabs>
        <w:rPr>
          <w:rFonts w:ascii="Arial" w:hAnsi="Arial" w:eastAsia="Arial" w:cs="Arial"/>
          <w:sz w:val="21"/>
          <w:szCs w:val="21"/>
        </w:rPr>
      </w:pPr>
    </w:p>
    <w:p w:rsidRPr="00803236" w:rsidR="00F27724" w:rsidP="00D86FE0" w:rsidRDefault="418B014F" w14:paraId="29382833" w14:textId="593987AE">
      <w:pPr>
        <w:pStyle w:val="Textoindependiente"/>
        <w:tabs>
          <w:tab w:val="left" w:pos="284"/>
        </w:tabs>
        <w:rPr>
          <w:rFonts w:ascii="Arial" w:hAnsi="Arial" w:eastAsia="Arial" w:cs="Arial"/>
          <w:sz w:val="21"/>
          <w:szCs w:val="21"/>
        </w:rPr>
      </w:pPr>
      <w:r w:rsidRPr="00803236">
        <w:rPr>
          <w:rFonts w:ascii="Arial" w:hAnsi="Arial" w:eastAsia="Arial" w:cs="Arial"/>
          <w:sz w:val="21"/>
          <w:szCs w:val="21"/>
        </w:rPr>
        <w:t>Tabla 15 del Sector</w:t>
      </w:r>
    </w:p>
    <w:p w:rsidRPr="003D0ADA" w:rsidR="00F27724" w:rsidP="539F01B6" w:rsidRDefault="003260AD" w14:paraId="5355F811" w14:textId="0F17034B">
      <w:pPr>
        <w:pStyle w:val="Textoindependiente"/>
        <w:tabs>
          <w:tab w:val="left" w:pos="284"/>
        </w:tabs>
        <w:rPr>
          <w:rFonts w:ascii="Arial" w:hAnsi="Arial" w:cs="Arial"/>
          <w:sz w:val="16"/>
          <w:szCs w:val="16"/>
          <w:lang w:val="es-CO"/>
        </w:rPr>
      </w:pPr>
      <w:r w:rsidRPr="003260AD">
        <w:rPr>
          <w:noProof/>
          <w:lang w:val="es-CO" w:eastAsia="es-CO"/>
        </w:rPr>
        <w:drawing>
          <wp:anchor distT="0" distB="0" distL="114300" distR="114300" simplePos="0" relativeHeight="251659264" behindDoc="0" locked="0" layoutInCell="1" allowOverlap="1" wp14:anchorId="69029C53" wp14:editId="7AD98DEF">
            <wp:simplePos x="0" y="0"/>
            <wp:positionH relativeFrom="column">
              <wp:posOffset>0</wp:posOffset>
            </wp:positionH>
            <wp:positionV relativeFrom="paragraph">
              <wp:posOffset>61595</wp:posOffset>
            </wp:positionV>
            <wp:extent cx="5403215" cy="1894840"/>
            <wp:effectExtent l="0" t="0" r="6985" b="0"/>
            <wp:wrapSquare wrapText="bothSides"/>
            <wp:docPr id="1809471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71509" name=""/>
                    <pic:cNvPicPr/>
                  </pic:nvPicPr>
                  <pic:blipFill>
                    <a:blip r:embed="rId44">
                      <a:extLst>
                        <a:ext uri="{28A0092B-C50C-407E-A947-70E740481C1C}">
                          <a14:useLocalDpi xmlns:a14="http://schemas.microsoft.com/office/drawing/2010/main" val="0"/>
                        </a:ext>
                      </a:extLst>
                    </a:blip>
                    <a:stretch>
                      <a:fillRect/>
                    </a:stretch>
                  </pic:blipFill>
                  <pic:spPr>
                    <a:xfrm>
                      <a:off x="0" y="0"/>
                      <a:ext cx="5403215" cy="1894840"/>
                    </a:xfrm>
                    <a:prstGeom prst="rect">
                      <a:avLst/>
                    </a:prstGeom>
                  </pic:spPr>
                </pic:pic>
              </a:graphicData>
            </a:graphic>
            <wp14:sizeRelH relativeFrom="page">
              <wp14:pctWidth>0</wp14:pctWidth>
            </wp14:sizeRelH>
            <wp14:sizeRelV relativeFrom="page">
              <wp14:pctHeight>0</wp14:pctHeight>
            </wp14:sizeRelV>
          </wp:anchor>
        </w:drawing>
      </w:r>
    </w:p>
    <w:p w:rsidRPr="003D0ADA" w:rsidR="00F27724" w:rsidP="539F01B6" w:rsidRDefault="00F27724" w14:paraId="7284D9BD" w14:textId="7015CA05">
      <w:pPr>
        <w:pStyle w:val="Textoindependiente"/>
        <w:tabs>
          <w:tab w:val="left" w:pos="284"/>
        </w:tabs>
        <w:rPr>
          <w:rFonts w:ascii="Arial" w:hAnsi="Arial" w:cs="Arial"/>
          <w:sz w:val="16"/>
          <w:szCs w:val="16"/>
          <w:lang w:val="es-CO"/>
        </w:rPr>
      </w:pPr>
    </w:p>
    <w:p w:rsidRPr="003D0ADA" w:rsidR="00F27724" w:rsidP="539F01B6" w:rsidRDefault="00F27724" w14:paraId="40009050" w14:textId="022008D3">
      <w:pPr>
        <w:pStyle w:val="Textoindependiente"/>
        <w:tabs>
          <w:tab w:val="left" w:pos="284"/>
        </w:tabs>
        <w:rPr>
          <w:rFonts w:ascii="Arial" w:hAnsi="Arial" w:cs="Arial"/>
          <w:sz w:val="16"/>
          <w:szCs w:val="16"/>
          <w:lang w:val="es-CO"/>
        </w:rPr>
      </w:pPr>
    </w:p>
    <w:p w:rsidRPr="003D0ADA" w:rsidR="00F27724" w:rsidP="00D86FE0" w:rsidRDefault="00F27724" w14:paraId="23BDD1DE" w14:textId="6C4BF4F8">
      <w:pPr>
        <w:pStyle w:val="Textoindependiente"/>
        <w:tabs>
          <w:tab w:val="left" w:pos="284"/>
        </w:tabs>
      </w:pPr>
    </w:p>
    <w:p w:rsidR="539F01B6" w:rsidP="539F01B6" w:rsidRDefault="539F01B6" w14:paraId="41A55F3F" w14:textId="13DD09F1">
      <w:pPr>
        <w:pStyle w:val="Textoindependiente"/>
        <w:tabs>
          <w:tab w:val="left" w:pos="284"/>
        </w:tabs>
        <w:rPr>
          <w:rFonts w:ascii="Arial" w:hAnsi="Arial" w:cs="Arial"/>
          <w:sz w:val="16"/>
          <w:szCs w:val="16"/>
          <w:lang w:val="es-CO"/>
        </w:rPr>
      </w:pPr>
    </w:p>
    <w:p w:rsidR="539F01B6" w:rsidP="539F01B6" w:rsidRDefault="539F01B6" w14:paraId="51B41010" w14:textId="7F38B162">
      <w:pPr>
        <w:pStyle w:val="Textoindependiente"/>
        <w:tabs>
          <w:tab w:val="left" w:pos="284"/>
        </w:tabs>
        <w:rPr>
          <w:rFonts w:ascii="Arial" w:hAnsi="Arial" w:cs="Arial"/>
          <w:sz w:val="16"/>
          <w:szCs w:val="16"/>
          <w:lang w:val="es-CO"/>
        </w:rPr>
      </w:pPr>
    </w:p>
    <w:p w:rsidRPr="00803236" w:rsidR="00803236" w:rsidP="00803236" w:rsidRDefault="00803236" w14:paraId="41F32DD2" w14:textId="7EBCEF23">
      <w:pPr>
        <w:pStyle w:val="Textoindependiente"/>
        <w:tabs>
          <w:tab w:val="left" w:pos="284"/>
        </w:tabs>
        <w:rPr>
          <w:rStyle w:val="eop"/>
          <w:rFonts w:cs="Tahoma"/>
          <w:sz w:val="14"/>
          <w:szCs w:val="16"/>
          <w:shd w:val="clear" w:color="auto" w:fill="FFFFFF"/>
        </w:rPr>
      </w:pPr>
      <w:r w:rsidRPr="00803236">
        <w:rPr>
          <w:rStyle w:val="normaltextrun"/>
          <w:rFonts w:cs="Tahoma"/>
          <w:color w:val="000000"/>
          <w:sz w:val="14"/>
          <w:szCs w:val="16"/>
          <w:shd w:val="clear" w:color="auto" w:fill="FFFFFF"/>
        </w:rPr>
        <w:t xml:space="preserve">Informe de importaciones y balanza comercial de Colombia mes </w:t>
      </w:r>
      <w:r w:rsidR="003260AD">
        <w:rPr>
          <w:rStyle w:val="normaltextrun"/>
          <w:rFonts w:cs="Tahoma"/>
          <w:color w:val="000000"/>
          <w:sz w:val="14"/>
          <w:szCs w:val="16"/>
          <w:shd w:val="clear" w:color="auto" w:fill="FFFFFF"/>
        </w:rPr>
        <w:t>marzo</w:t>
      </w:r>
      <w:r w:rsidRPr="00803236">
        <w:rPr>
          <w:rStyle w:val="normaltextrun"/>
          <w:rFonts w:cs="Tahoma"/>
          <w:color w:val="000000"/>
          <w:sz w:val="14"/>
          <w:szCs w:val="16"/>
          <w:shd w:val="clear" w:color="auto" w:fill="FFFFFF"/>
        </w:rPr>
        <w:t xml:space="preserve"> 2026 -  Fuente: </w:t>
      </w:r>
      <w:hyperlink w:tgtFrame="_blank" w:history="1" r:id="rId45">
        <w:r w:rsidRPr="00803236">
          <w:rPr>
            <w:rStyle w:val="normaltextrun"/>
            <w:rFonts w:ascii="Segoe UI" w:hAnsi="Segoe UI" w:cs="Segoe UI"/>
            <w:color w:val="0000EE"/>
            <w:sz w:val="12"/>
            <w:szCs w:val="14"/>
            <w:u w:val="single"/>
            <w:shd w:val="clear" w:color="auto" w:fill="FFFFFF"/>
          </w:rPr>
          <w:t>https://www.mincit.gov.co/estudios-economicos/estadisticas-e-informes/informes-de-importaciones-colombianas-y-balanza-co</w:t>
        </w:r>
      </w:hyperlink>
      <w:r w:rsidRPr="00803236">
        <w:rPr>
          <w:rStyle w:val="normaltextrun"/>
          <w:rFonts w:ascii="Segoe UI" w:hAnsi="Segoe UI" w:cs="Segoe UI"/>
          <w:color w:val="0000EE"/>
          <w:sz w:val="12"/>
          <w:szCs w:val="14"/>
          <w:shd w:val="clear" w:color="auto" w:fill="FFFFFF"/>
        </w:rPr>
        <w:t> </w:t>
      </w:r>
      <w:r w:rsidRPr="00803236">
        <w:rPr>
          <w:rStyle w:val="normaltextrun"/>
          <w:rFonts w:cs="Tahoma"/>
          <w:sz w:val="14"/>
          <w:szCs w:val="16"/>
          <w:shd w:val="clear" w:color="auto" w:fill="FFFFFF"/>
        </w:rPr>
        <w:t xml:space="preserve">Fecha Consulta: </w:t>
      </w:r>
      <w:r w:rsidR="003260AD">
        <w:rPr>
          <w:rStyle w:val="normaltextrun"/>
          <w:rFonts w:cs="Tahoma"/>
          <w:sz w:val="14"/>
          <w:szCs w:val="16"/>
          <w:shd w:val="clear" w:color="auto" w:fill="FFFFFF"/>
        </w:rPr>
        <w:t>10</w:t>
      </w:r>
      <w:r w:rsidRPr="00803236" w:rsidR="0078660D">
        <w:rPr>
          <w:rStyle w:val="normaltextrun"/>
          <w:rFonts w:cs="Tahoma"/>
          <w:sz w:val="14"/>
          <w:szCs w:val="16"/>
          <w:shd w:val="clear" w:color="auto" w:fill="FFFFFF"/>
        </w:rPr>
        <w:t xml:space="preserve"> de </w:t>
      </w:r>
      <w:r w:rsidR="003260AD">
        <w:rPr>
          <w:rStyle w:val="normaltextrun"/>
          <w:rFonts w:cs="Tahoma"/>
          <w:sz w:val="14"/>
          <w:szCs w:val="16"/>
          <w:shd w:val="clear" w:color="auto" w:fill="FFFFFF"/>
        </w:rPr>
        <w:t>juni</w:t>
      </w:r>
      <w:r w:rsidR="0078660D">
        <w:rPr>
          <w:rStyle w:val="normaltextrun"/>
          <w:rFonts w:cs="Tahoma"/>
          <w:sz w:val="14"/>
          <w:szCs w:val="16"/>
          <w:shd w:val="clear" w:color="auto" w:fill="FFFFFF"/>
        </w:rPr>
        <w:t>o</w:t>
      </w:r>
      <w:r w:rsidRPr="00803236" w:rsidR="0078660D">
        <w:rPr>
          <w:rStyle w:val="normaltextrun"/>
          <w:rFonts w:cs="Tahoma"/>
          <w:sz w:val="14"/>
          <w:szCs w:val="16"/>
          <w:shd w:val="clear" w:color="auto" w:fill="FFFFFF"/>
        </w:rPr>
        <w:t xml:space="preserve"> de 2026</w:t>
      </w:r>
      <w:r w:rsidRPr="00803236" w:rsidR="0078660D">
        <w:rPr>
          <w:rStyle w:val="eop"/>
          <w:rFonts w:cs="Tahoma"/>
          <w:sz w:val="14"/>
          <w:szCs w:val="16"/>
          <w:shd w:val="clear" w:color="auto" w:fill="FFFFFF"/>
        </w:rPr>
        <w:t> </w:t>
      </w:r>
    </w:p>
    <w:p w:rsidR="00803236" w:rsidP="539F01B6" w:rsidRDefault="00803236" w14:paraId="3CF9F0E4" w14:textId="50B5591A">
      <w:pPr>
        <w:pStyle w:val="Textoindependiente"/>
        <w:tabs>
          <w:tab w:val="left" w:pos="284"/>
        </w:tabs>
        <w:rPr>
          <w:rFonts w:ascii="Arial" w:hAnsi="Arial" w:cs="Arial"/>
          <w:sz w:val="16"/>
          <w:szCs w:val="16"/>
          <w:lang w:val="es-CO"/>
        </w:rPr>
      </w:pPr>
    </w:p>
    <w:p w:rsidR="00147109" w:rsidP="539F01B6" w:rsidRDefault="00147109" w14:paraId="0314023B" w14:textId="77777777">
      <w:pPr>
        <w:pStyle w:val="Textoindependiente"/>
        <w:tabs>
          <w:tab w:val="left" w:pos="284"/>
        </w:tabs>
        <w:rPr>
          <w:rFonts w:ascii="Arial" w:hAnsi="Arial" w:cs="Arial"/>
          <w:sz w:val="16"/>
          <w:szCs w:val="16"/>
          <w:lang w:val="es-CO"/>
        </w:rPr>
      </w:pPr>
    </w:p>
    <w:p w:rsidR="00147109" w:rsidP="539F01B6" w:rsidRDefault="00147109" w14:paraId="51DC99C2" w14:textId="77777777">
      <w:pPr>
        <w:pStyle w:val="Textoindependiente"/>
        <w:tabs>
          <w:tab w:val="left" w:pos="284"/>
        </w:tabs>
        <w:rPr>
          <w:rFonts w:ascii="Arial" w:hAnsi="Arial" w:cs="Arial"/>
          <w:sz w:val="16"/>
          <w:szCs w:val="16"/>
          <w:lang w:val="es-CO"/>
        </w:rPr>
      </w:pPr>
    </w:p>
    <w:p w:rsidR="539F01B6" w:rsidP="539F01B6" w:rsidRDefault="539F01B6" w14:paraId="0EBDD1D3" w14:textId="3E107F1B">
      <w:pPr>
        <w:pStyle w:val="Textoindependiente"/>
        <w:tabs>
          <w:tab w:val="left" w:pos="284"/>
        </w:tabs>
        <w:rPr>
          <w:rFonts w:ascii="Arial" w:hAnsi="Arial" w:cs="Arial"/>
          <w:sz w:val="16"/>
          <w:szCs w:val="16"/>
          <w:lang w:val="es-CO"/>
        </w:rPr>
      </w:pPr>
    </w:p>
    <w:p w:rsidR="00F27724" w:rsidP="539F01B6" w:rsidRDefault="3A3EAC71" w14:paraId="2F45C855" w14:textId="549E430C">
      <w:pPr>
        <w:pStyle w:val="Textoindependiente"/>
        <w:numPr>
          <w:ilvl w:val="0"/>
          <w:numId w:val="31"/>
        </w:numPr>
        <w:tabs>
          <w:tab w:val="left" w:pos="284"/>
        </w:tabs>
        <w:rPr>
          <w:rFonts w:ascii="Arial" w:hAnsi="Arial" w:cs="Arial"/>
          <w:b/>
          <w:bCs/>
          <w:sz w:val="21"/>
          <w:szCs w:val="21"/>
          <w:lang w:val="es-CO"/>
        </w:rPr>
      </w:pPr>
      <w:r w:rsidRPr="0B9B909B">
        <w:rPr>
          <w:rFonts w:ascii="Arial" w:hAnsi="Arial" w:cs="Arial"/>
          <w:b/>
          <w:bCs/>
          <w:sz w:val="21"/>
          <w:szCs w:val="21"/>
          <w:lang w:val="es-CO"/>
        </w:rPr>
        <w:t xml:space="preserve">CONCLUSIONES </w:t>
      </w:r>
    </w:p>
    <w:p w:rsidRPr="003D0ADA" w:rsidR="005B00C1" w:rsidP="005B00C1" w:rsidRDefault="005B00C1" w14:paraId="567F09EF" w14:textId="77777777">
      <w:pPr>
        <w:pStyle w:val="Textoindependiente"/>
        <w:tabs>
          <w:tab w:val="left" w:pos="284"/>
        </w:tabs>
        <w:ind w:left="720"/>
        <w:rPr>
          <w:rFonts w:ascii="Arial" w:hAnsi="Arial" w:cs="Arial"/>
          <w:b/>
          <w:bCs/>
          <w:sz w:val="21"/>
          <w:szCs w:val="21"/>
          <w:lang w:val="es-CO"/>
        </w:rPr>
      </w:pPr>
    </w:p>
    <w:p w:rsidRPr="00482BCB" w:rsidR="00482BCB" w:rsidP="00482BCB" w:rsidRDefault="00482BCB" w14:paraId="69A60E85" w14:textId="77777777">
      <w:pPr>
        <w:pStyle w:val="Textoindependiente"/>
        <w:tabs>
          <w:tab w:val="left" w:pos="284"/>
        </w:tabs>
        <w:rPr>
          <w:rFonts w:ascii="Arial" w:hAnsi="Arial" w:eastAsia="Arial" w:cs="Arial"/>
          <w:sz w:val="21"/>
          <w:szCs w:val="21"/>
          <w:lang w:val="es-CO"/>
        </w:rPr>
      </w:pPr>
      <w:r w:rsidRPr="00482BCB">
        <w:rPr>
          <w:rFonts w:ascii="Arial" w:hAnsi="Arial" w:eastAsia="Arial" w:cs="Arial"/>
          <w:sz w:val="21"/>
          <w:szCs w:val="21"/>
          <w:lang w:val="es-CO"/>
        </w:rPr>
        <w:t>Tras verificar la información y contrastarla con los indicadores de la industria manufacturera y los niveles comerciales publicados por el DANE, así como los reportes de coyuntura del Banco de la República y el Ministerio de Comercio, Industria y Turismo, se evidencia un sector dinámico con una participación sólida en la comercialización de insumos especializados. A pesar de la volatilidad de la TRM, el mercado demuestra capacidad para suplir la demanda requerida por la Subdirección de Laboratorio de Salud Pública de la Secretaría Distrital de Salud, mediante procesos competitivos que garantizan la pluralidad de oferentes y el cumplimiento de los objetos contractuales. Este análisis de nicho confirma la rentabilidad y viabilidad del proceso acorde a la modalidad de contratación y las necesidades de la Entidad. Para ello, la estructuración del proceso de selección debe blindarse mediante un análisis fundamentado en las siguientes conclusiones estratégicas:</w:t>
      </w:r>
    </w:p>
    <w:p w:rsidRPr="00482BCB" w:rsidR="00482BCB" w:rsidP="00482BCB" w:rsidRDefault="00482BCB" w14:paraId="79D0D58C" w14:textId="77777777">
      <w:pPr>
        <w:pStyle w:val="Textoindependiente"/>
        <w:tabs>
          <w:tab w:val="left" w:pos="284"/>
        </w:tabs>
        <w:rPr>
          <w:rFonts w:ascii="Arial" w:hAnsi="Arial" w:eastAsia="Arial" w:cs="Arial"/>
          <w:sz w:val="21"/>
          <w:szCs w:val="21"/>
          <w:lang w:val="es-CO"/>
        </w:rPr>
      </w:pPr>
    </w:p>
    <w:p w:rsidRPr="00482BCB" w:rsidR="00482BCB" w:rsidP="00482BCB" w:rsidRDefault="00482BCB" w14:paraId="2287F29D" w14:textId="77777777">
      <w:pPr>
        <w:pStyle w:val="Textoindependiente"/>
        <w:numPr>
          <w:ilvl w:val="0"/>
          <w:numId w:val="48"/>
        </w:numPr>
        <w:tabs>
          <w:tab w:val="left" w:pos="284"/>
        </w:tabs>
        <w:rPr>
          <w:rFonts w:ascii="Arial" w:hAnsi="Arial" w:eastAsia="Arial" w:cs="Arial"/>
          <w:sz w:val="21"/>
          <w:szCs w:val="21"/>
          <w:lang w:val="es-CO"/>
        </w:rPr>
      </w:pPr>
      <w:r w:rsidRPr="00482BCB">
        <w:rPr>
          <w:rFonts w:ascii="Arial" w:hAnsi="Arial" w:eastAsia="Arial" w:cs="Arial"/>
          <w:sz w:val="21"/>
          <w:szCs w:val="21"/>
          <w:lang w:val="es-CO"/>
        </w:rPr>
        <w:t>Naturaleza del Mercado: Al tratarse del suministro de enzimas (</w:t>
      </w:r>
      <w:r w:rsidRPr="00482BCB">
        <w:rPr>
          <w:rFonts w:ascii="Arial" w:hAnsi="Arial" w:eastAsia="Arial" w:cs="Arial"/>
          <w:i/>
          <w:iCs/>
          <w:sz w:val="21"/>
          <w:szCs w:val="21"/>
          <w:lang w:val="es-CO"/>
        </w:rPr>
        <w:t>master mix</w:t>
      </w:r>
      <w:r w:rsidRPr="00482BCB">
        <w:rPr>
          <w:rFonts w:ascii="Arial" w:hAnsi="Arial" w:eastAsia="Arial" w:cs="Arial"/>
          <w:sz w:val="21"/>
          <w:szCs w:val="21"/>
          <w:lang w:val="es-CO"/>
        </w:rPr>
        <w:t xml:space="preserve">), sondas y </w:t>
      </w:r>
      <w:proofErr w:type="spellStart"/>
      <w:r w:rsidRPr="00482BCB">
        <w:rPr>
          <w:rFonts w:ascii="Arial" w:hAnsi="Arial" w:eastAsia="Arial" w:cs="Arial"/>
          <w:sz w:val="21"/>
          <w:szCs w:val="21"/>
          <w:lang w:val="es-CO"/>
        </w:rPr>
        <w:t>primers</w:t>
      </w:r>
      <w:proofErr w:type="spellEnd"/>
      <w:r w:rsidRPr="00482BCB">
        <w:rPr>
          <w:rFonts w:ascii="Arial" w:hAnsi="Arial" w:eastAsia="Arial" w:cs="Arial"/>
          <w:sz w:val="21"/>
          <w:szCs w:val="21"/>
          <w:lang w:val="es-CO"/>
        </w:rPr>
        <w:t xml:space="preserve"> requeridos para el procesamiento de las pruebas moleculares de los eventos de interés en salud pública, se identifica un mercado con un número limitado de proveedores de biotecnología de punta altamente especializada. En consecuencia, el estudio de mercado analizó la comparación de precios para asegurar la optimización de los recursos públicos en estas técnicas de diagnóstico avanzado.</w:t>
      </w:r>
    </w:p>
    <w:p w:rsidRPr="00482BCB" w:rsidR="00482BCB" w:rsidP="00482BCB" w:rsidRDefault="00482BCB" w14:paraId="3DFE8DB4" w14:textId="77777777">
      <w:pPr>
        <w:pStyle w:val="Textoindependiente"/>
        <w:tabs>
          <w:tab w:val="left" w:pos="284"/>
        </w:tabs>
        <w:ind w:left="720"/>
        <w:rPr>
          <w:rFonts w:ascii="Arial" w:hAnsi="Arial" w:eastAsia="Arial" w:cs="Arial"/>
          <w:sz w:val="21"/>
          <w:szCs w:val="21"/>
          <w:lang w:val="es-CO"/>
        </w:rPr>
      </w:pPr>
    </w:p>
    <w:p w:rsidRPr="00482BCB" w:rsidR="00482BCB" w:rsidP="00482BCB" w:rsidRDefault="00482BCB" w14:paraId="547332E5" w14:textId="77777777">
      <w:pPr>
        <w:pStyle w:val="Textoindependiente"/>
        <w:numPr>
          <w:ilvl w:val="0"/>
          <w:numId w:val="48"/>
        </w:numPr>
        <w:tabs>
          <w:tab w:val="left" w:pos="284"/>
        </w:tabs>
        <w:rPr>
          <w:rFonts w:ascii="Arial" w:hAnsi="Arial" w:eastAsia="Arial" w:cs="Arial"/>
          <w:sz w:val="21"/>
          <w:szCs w:val="21"/>
          <w:lang w:val="es-CO"/>
        </w:rPr>
      </w:pPr>
      <w:r w:rsidRPr="00482BCB">
        <w:rPr>
          <w:rFonts w:ascii="Arial" w:hAnsi="Arial" w:eastAsia="Arial" w:cs="Arial"/>
          <w:sz w:val="21"/>
          <w:szCs w:val="21"/>
          <w:lang w:val="es-CO"/>
        </w:rPr>
        <w:t>Equilibrio Económico: Dada la alta dependencia de productos e insumos importados, la Entidad contemplará cláusulas de estabilidad y mantenimiento de precios para mitigar el impacto de la tasa de cambio, en línea con las proyecciones cambiarias macroeconómicas. La exposición a variaciones en moneda extranjera representa un riesgo crítico que podría comprometer la ejecución del contrato si no se establecen medidas claras de mitigación financiera desde la etapa precontractual.</w:t>
      </w:r>
    </w:p>
    <w:p w:rsidRPr="00482BCB" w:rsidR="00482BCB" w:rsidP="00482BCB" w:rsidRDefault="00482BCB" w14:paraId="2CCFC7E5" w14:textId="77777777">
      <w:pPr>
        <w:pStyle w:val="Textoindependiente"/>
        <w:tabs>
          <w:tab w:val="left" w:pos="284"/>
        </w:tabs>
        <w:ind w:left="720"/>
        <w:rPr>
          <w:rFonts w:ascii="Arial" w:hAnsi="Arial" w:eastAsia="Arial" w:cs="Arial"/>
          <w:sz w:val="21"/>
          <w:szCs w:val="21"/>
          <w:lang w:val="es-CO"/>
        </w:rPr>
      </w:pPr>
    </w:p>
    <w:p w:rsidRPr="00482BCB" w:rsidR="00482BCB" w:rsidP="00482BCB" w:rsidRDefault="00482BCB" w14:paraId="62746E6E" w14:textId="77777777">
      <w:pPr>
        <w:pStyle w:val="Textoindependiente"/>
        <w:numPr>
          <w:ilvl w:val="0"/>
          <w:numId w:val="48"/>
        </w:numPr>
        <w:tabs>
          <w:tab w:val="left" w:pos="284"/>
        </w:tabs>
        <w:rPr>
          <w:rFonts w:ascii="Arial" w:hAnsi="Arial" w:eastAsia="Arial" w:cs="Arial"/>
          <w:sz w:val="21"/>
          <w:szCs w:val="21"/>
          <w:lang w:val="es-CO"/>
        </w:rPr>
      </w:pPr>
      <w:r w:rsidRPr="00482BCB">
        <w:rPr>
          <w:rFonts w:ascii="Arial" w:hAnsi="Arial" w:eastAsia="Arial" w:cs="Arial"/>
          <w:sz w:val="21"/>
          <w:szCs w:val="21"/>
          <w:lang w:val="es-CO"/>
        </w:rPr>
        <w:t xml:space="preserve">Seguridad en la Cadena de Suministro: Dada la naturaleza crítica de las enzimas, sondas y </w:t>
      </w:r>
      <w:proofErr w:type="spellStart"/>
      <w:r w:rsidRPr="00482BCB">
        <w:rPr>
          <w:rFonts w:ascii="Arial" w:hAnsi="Arial" w:eastAsia="Arial" w:cs="Arial"/>
          <w:sz w:val="21"/>
          <w:szCs w:val="21"/>
          <w:lang w:val="es-CO"/>
        </w:rPr>
        <w:t>primers</w:t>
      </w:r>
      <w:proofErr w:type="spellEnd"/>
      <w:r w:rsidRPr="00482BCB">
        <w:rPr>
          <w:rFonts w:ascii="Arial" w:hAnsi="Arial" w:eastAsia="Arial" w:cs="Arial"/>
          <w:sz w:val="21"/>
          <w:szCs w:val="21"/>
          <w:lang w:val="es-CO"/>
        </w:rPr>
        <w:t xml:space="preserve"> para la vigilancia epidemiológica y la salud pública de la ciudad, se debe priorizar a oferentes con una infraestructura logística robusta (como cadenas de frío estrictas) y experiencia comprobada. El componente de "apoyo tecnológico" debe constituir una garantía de continuidad operativa para las áreas técnicas y no considerarse un simple valor agregado.</w:t>
      </w:r>
    </w:p>
    <w:p w:rsidRPr="00482BCB" w:rsidR="00482BCB" w:rsidP="00482BCB" w:rsidRDefault="00482BCB" w14:paraId="08F74A36" w14:textId="77777777">
      <w:pPr>
        <w:pStyle w:val="Textoindependiente"/>
        <w:tabs>
          <w:tab w:val="left" w:pos="284"/>
        </w:tabs>
        <w:ind w:left="720"/>
        <w:rPr>
          <w:rFonts w:ascii="Arial" w:hAnsi="Arial" w:eastAsia="Arial" w:cs="Arial"/>
          <w:sz w:val="21"/>
          <w:szCs w:val="21"/>
          <w:lang w:val="es-CO"/>
        </w:rPr>
      </w:pPr>
    </w:p>
    <w:p w:rsidRPr="00482BCB" w:rsidR="00482BCB" w:rsidP="00482BCB" w:rsidRDefault="00482BCB" w14:paraId="27BD59BD" w14:textId="77777777">
      <w:pPr>
        <w:pStyle w:val="Textoindependiente"/>
        <w:numPr>
          <w:ilvl w:val="0"/>
          <w:numId w:val="48"/>
        </w:numPr>
        <w:tabs>
          <w:tab w:val="left" w:pos="284"/>
        </w:tabs>
        <w:rPr>
          <w:rFonts w:ascii="Arial" w:hAnsi="Arial" w:eastAsia="Arial" w:cs="Arial"/>
          <w:sz w:val="21"/>
          <w:szCs w:val="21"/>
          <w:lang w:val="es-CO"/>
        </w:rPr>
      </w:pPr>
      <w:r w:rsidRPr="00482BCB">
        <w:rPr>
          <w:rFonts w:ascii="Arial" w:hAnsi="Arial" w:eastAsia="Arial" w:cs="Arial"/>
          <w:sz w:val="21"/>
          <w:szCs w:val="21"/>
          <w:lang w:val="es-CO"/>
        </w:rPr>
        <w:t>Análisis de Bienes y Servicios Relevantes (Exclusión de Producción Nacional): En cumplimiento de las directrices normativas vigentes sobre la promoción de la industria local y tras la verificación en el Registro de Productores de Bienes Nacionales a través de la Ventanilla Única de Comercio Exterior (VUCE), se concluye que el análisis de bienes y servicios relevantes de origen nacional no aplica para el presente proceso de selección. Lo anterior obedece a que las enzimas (</w:t>
      </w:r>
      <w:r w:rsidRPr="00482BCB">
        <w:rPr>
          <w:rFonts w:ascii="Arial" w:hAnsi="Arial" w:eastAsia="Arial" w:cs="Arial"/>
          <w:i/>
          <w:iCs/>
          <w:sz w:val="21"/>
          <w:szCs w:val="21"/>
          <w:lang w:val="es-CO"/>
        </w:rPr>
        <w:t>master mix</w:t>
      </w:r>
      <w:r w:rsidRPr="00482BCB">
        <w:rPr>
          <w:rFonts w:ascii="Arial" w:hAnsi="Arial" w:eastAsia="Arial" w:cs="Arial"/>
          <w:sz w:val="21"/>
          <w:szCs w:val="21"/>
          <w:lang w:val="es-CO"/>
        </w:rPr>
        <w:t xml:space="preserve">), sondas y </w:t>
      </w:r>
      <w:proofErr w:type="spellStart"/>
      <w:r w:rsidRPr="00482BCB">
        <w:rPr>
          <w:rFonts w:ascii="Arial" w:hAnsi="Arial" w:eastAsia="Arial" w:cs="Arial"/>
          <w:sz w:val="21"/>
          <w:szCs w:val="21"/>
          <w:lang w:val="es-CO"/>
        </w:rPr>
        <w:t>primers</w:t>
      </w:r>
      <w:proofErr w:type="spellEnd"/>
      <w:r w:rsidRPr="00482BCB">
        <w:rPr>
          <w:rFonts w:ascii="Arial" w:hAnsi="Arial" w:eastAsia="Arial" w:cs="Arial"/>
          <w:sz w:val="21"/>
          <w:szCs w:val="21"/>
          <w:lang w:val="es-CO"/>
        </w:rPr>
        <w:t xml:space="preserve"> requeridos corresponden a insumos de alta tecnología biológica y síntesis molecular fina que no cuentan con sustitutos o capacidades de fabricación equivalentes en el territorio colombiano, siendo bienes de estricta importación. En consecuencia, al no existir oferta nacional registrada para estos componentes genéticos y enzimáticos específicos, la Entidad fundamentará el proceso en el mercado de distribución e importación autorizada, garantizando que el abastecimiento cumpla con los estándares internacionales exigidos para los laboratorios de salud pública.</w:t>
      </w:r>
    </w:p>
    <w:p w:rsidR="54DA9842" w:rsidP="54DA9842" w:rsidRDefault="54DA9842" w14:paraId="62797B81" w14:textId="24096595">
      <w:pPr>
        <w:pStyle w:val="Textoindependiente"/>
        <w:tabs>
          <w:tab w:val="left" w:pos="284"/>
        </w:tabs>
        <w:rPr>
          <w:rFonts w:ascii="Arial" w:hAnsi="Arial" w:eastAsia="Arial" w:cs="Arial"/>
          <w:sz w:val="21"/>
          <w:szCs w:val="21"/>
        </w:rPr>
      </w:pPr>
    </w:p>
    <w:p w:rsidRPr="003D0ADA" w:rsidR="002903D5" w:rsidP="008752E4" w:rsidRDefault="183ABE18" w14:paraId="5E1FBE98" w14:textId="5DA8251C">
      <w:pPr>
        <w:pStyle w:val="Textoindependiente"/>
        <w:tabs>
          <w:tab w:val="left" w:pos="284"/>
        </w:tabs>
        <w:rPr>
          <w:rFonts w:ascii="Arial" w:hAnsi="Arial" w:cs="Arial"/>
          <w:b/>
          <w:bCs/>
          <w:sz w:val="21"/>
          <w:szCs w:val="21"/>
          <w:lang w:val="es-CO"/>
        </w:rPr>
      </w:pPr>
      <w:r w:rsidRPr="539F01B6">
        <w:rPr>
          <w:rFonts w:ascii="Arial" w:hAnsi="Arial" w:cs="Arial"/>
          <w:b/>
          <w:bCs/>
          <w:sz w:val="21"/>
          <w:szCs w:val="21"/>
          <w:lang w:val="es-CO"/>
        </w:rPr>
        <w:t>ANÁLISIS DEL ASPECTO TÉ</w:t>
      </w:r>
      <w:r w:rsidRPr="539F01B6" w:rsidR="52F17613">
        <w:rPr>
          <w:rFonts w:ascii="Arial" w:hAnsi="Arial" w:cs="Arial"/>
          <w:b/>
          <w:bCs/>
          <w:sz w:val="21"/>
          <w:szCs w:val="21"/>
          <w:lang w:val="es-CO"/>
        </w:rPr>
        <w:t>CNICO</w:t>
      </w:r>
    </w:p>
    <w:p w:rsidRPr="00A430A6" w:rsidR="539F01B6" w:rsidP="539F01B6" w:rsidRDefault="539F01B6" w14:paraId="13C2EA35" w14:textId="50BF88AE">
      <w:pPr>
        <w:pStyle w:val="Textoindependiente"/>
        <w:tabs>
          <w:tab w:val="left" w:pos="284"/>
        </w:tabs>
        <w:rPr>
          <w:rFonts w:ascii="Arial" w:hAnsi="Arial" w:eastAsia="Arial" w:cs="Arial"/>
          <w:sz w:val="21"/>
          <w:szCs w:val="21"/>
        </w:rPr>
      </w:pPr>
    </w:p>
    <w:p w:rsidRPr="008752E4" w:rsidR="008752E4" w:rsidP="008752E4" w:rsidRDefault="008752E4" w14:paraId="2C11F76C" w14:textId="77777777">
      <w:pPr>
        <w:pStyle w:val="Prrafodelista"/>
        <w:shd w:val="clear" w:color="auto" w:fill="FFFFFF" w:themeFill="background1"/>
        <w:ind w:left="0"/>
        <w:jc w:val="both"/>
        <w:rPr>
          <w:rFonts w:ascii="Arial" w:hAnsi="Arial" w:eastAsia="Arial" w:cs="Arial"/>
          <w:sz w:val="21"/>
          <w:szCs w:val="21"/>
        </w:rPr>
      </w:pPr>
      <w:r w:rsidRPr="008752E4">
        <w:rPr>
          <w:rFonts w:ascii="Arial" w:hAnsi="Arial" w:eastAsia="Arial" w:cs="Arial"/>
          <w:sz w:val="21"/>
          <w:szCs w:val="21"/>
        </w:rPr>
        <w:t xml:space="preserve">La adquisición de enzimas (master mix), sondas y </w:t>
      </w:r>
      <w:proofErr w:type="spellStart"/>
      <w:r w:rsidRPr="008752E4">
        <w:rPr>
          <w:rFonts w:ascii="Arial" w:hAnsi="Arial" w:eastAsia="Arial" w:cs="Arial"/>
          <w:sz w:val="21"/>
          <w:szCs w:val="21"/>
        </w:rPr>
        <w:t>primers</w:t>
      </w:r>
      <w:proofErr w:type="spellEnd"/>
      <w:r w:rsidRPr="008752E4">
        <w:rPr>
          <w:rFonts w:ascii="Arial" w:hAnsi="Arial" w:eastAsia="Arial" w:cs="Arial"/>
          <w:sz w:val="21"/>
          <w:szCs w:val="21"/>
        </w:rPr>
        <w:t xml:space="preserve"> se sitúa en la vanguardia de la biotecnología y la síntesis molecular fina, un sector con alta sensibilidad al cambio y la innovación científica. El estado de la innovación actual permite contar con formulaciones avanzadas de mezclas listas para usar (master mix) de alta fidelidad, así como oligonucleótidos (</w:t>
      </w:r>
      <w:proofErr w:type="spellStart"/>
      <w:r w:rsidRPr="008752E4">
        <w:rPr>
          <w:rFonts w:ascii="Arial" w:hAnsi="Arial" w:eastAsia="Arial" w:cs="Arial"/>
          <w:sz w:val="21"/>
          <w:szCs w:val="21"/>
        </w:rPr>
        <w:t>primers</w:t>
      </w:r>
      <w:proofErr w:type="spellEnd"/>
      <w:r w:rsidRPr="008752E4">
        <w:rPr>
          <w:rFonts w:ascii="Arial" w:hAnsi="Arial" w:eastAsia="Arial" w:cs="Arial"/>
          <w:sz w:val="21"/>
          <w:szCs w:val="21"/>
        </w:rPr>
        <w:t xml:space="preserve"> y sondas) diseñados con modificaciones químicas específicas que optimizan la eficiencia de la amplificación y la especificidad de la señal fluorescente. Esta evolución tecnológica diversifica la oferta de productos hacia insumos con controles internos exógenos integrados, permitiendo una trazabilidad total del material genético desde la muestra clínica o ambiental hasta la obtención de datos genómicos de alta fidelidad. De esta manera, se incrementa exponencialmente la capacidad analítica del laboratorio para el diagnóstico oportuno de múltiples patógenos y eventos de interés en salud pública.</w:t>
      </w:r>
    </w:p>
    <w:p w:rsidRPr="008752E4" w:rsidR="008752E4" w:rsidP="008752E4" w:rsidRDefault="008752E4" w14:paraId="484DBB02" w14:textId="77777777">
      <w:pPr>
        <w:pStyle w:val="Prrafodelista"/>
        <w:shd w:val="clear" w:color="auto" w:fill="FFFFFF" w:themeFill="background1"/>
        <w:ind w:left="0"/>
        <w:jc w:val="both"/>
        <w:rPr>
          <w:rFonts w:ascii="Arial" w:hAnsi="Arial" w:eastAsia="Arial" w:cs="Arial"/>
          <w:sz w:val="21"/>
          <w:szCs w:val="21"/>
        </w:rPr>
      </w:pPr>
    </w:p>
    <w:p w:rsidRPr="008752E4" w:rsidR="008752E4" w:rsidP="008752E4" w:rsidRDefault="008752E4" w14:paraId="690C0E38" w14:textId="77777777">
      <w:pPr>
        <w:pStyle w:val="Prrafodelista"/>
        <w:shd w:val="clear" w:color="auto" w:fill="FFFFFF" w:themeFill="background1"/>
        <w:ind w:left="0"/>
        <w:jc w:val="both"/>
        <w:rPr>
          <w:rFonts w:ascii="Arial" w:hAnsi="Arial" w:eastAsia="Arial" w:cs="Arial"/>
          <w:sz w:val="21"/>
          <w:szCs w:val="21"/>
        </w:rPr>
      </w:pPr>
      <w:r w:rsidRPr="008752E4">
        <w:rPr>
          <w:rFonts w:ascii="Arial" w:hAnsi="Arial" w:eastAsia="Arial" w:cs="Arial"/>
          <w:sz w:val="21"/>
          <w:szCs w:val="21"/>
        </w:rPr>
        <w:t xml:space="preserve">Las especificaciones de calidad de estos componentes se rigen por estándares internacionales y validaciones del Instituto Nacional de Salud (INS) y el INVIMA, asegurando que las enzimas, sondas y </w:t>
      </w:r>
      <w:proofErr w:type="spellStart"/>
      <w:r w:rsidRPr="008752E4">
        <w:rPr>
          <w:rFonts w:ascii="Arial" w:hAnsi="Arial" w:eastAsia="Arial" w:cs="Arial"/>
          <w:sz w:val="21"/>
          <w:szCs w:val="21"/>
        </w:rPr>
        <w:t>primers</w:t>
      </w:r>
      <w:proofErr w:type="spellEnd"/>
      <w:r w:rsidRPr="008752E4">
        <w:rPr>
          <w:rFonts w:ascii="Arial" w:hAnsi="Arial" w:eastAsia="Arial" w:cs="Arial"/>
          <w:sz w:val="21"/>
          <w:szCs w:val="21"/>
        </w:rPr>
        <w:t xml:space="preserve"> mantengan los niveles de pureza, sensibilidad y especificidad diagnóstica exigidos en el ámbito global. La diversidad y especialización de estos productos refleja una tendencia de mercado orientada hacia la medicina de precisión y el robustecimiento de la salud pública. En este contexto, la vigilancia genómica constituye una herramienta estratégica para la caracterización de variantes, la estimación de prevalencias, la evaluación de la efectividad de las intervenciones sanitarias y el fortalecimiento de los procesos investigativos. Por lo tanto, la adquisición de </w:t>
      </w:r>
      <w:proofErr w:type="spellStart"/>
      <w:r w:rsidRPr="008752E4">
        <w:rPr>
          <w:rFonts w:ascii="Arial" w:hAnsi="Arial" w:eastAsia="Arial" w:cs="Arial"/>
          <w:sz w:val="21"/>
          <w:szCs w:val="21"/>
        </w:rPr>
        <w:t>primers</w:t>
      </w:r>
      <w:proofErr w:type="spellEnd"/>
      <w:r w:rsidRPr="008752E4">
        <w:rPr>
          <w:rFonts w:ascii="Arial" w:hAnsi="Arial" w:eastAsia="Arial" w:cs="Arial"/>
          <w:sz w:val="21"/>
          <w:szCs w:val="21"/>
        </w:rPr>
        <w:t>, sondas, enzimas, marcadores de peso molecular y demás insumos asociados resulta estrictamente necesaria, idónea y proporcional para garantizar la continuidad operativa del laboratorio, el cumplimiento de sus funciones legales y misionales, y la respuesta adecuada ante la demanda epidemiológica del Distrito Capital.</w:t>
      </w:r>
    </w:p>
    <w:p w:rsidRPr="008752E4" w:rsidR="008752E4" w:rsidP="008752E4" w:rsidRDefault="008752E4" w14:paraId="0E8A7A06" w14:textId="77777777">
      <w:pPr>
        <w:pStyle w:val="Prrafodelista"/>
        <w:shd w:val="clear" w:color="auto" w:fill="FFFFFF" w:themeFill="background1"/>
        <w:ind w:left="0"/>
        <w:jc w:val="both"/>
        <w:rPr>
          <w:rFonts w:ascii="Arial" w:hAnsi="Arial" w:eastAsia="Arial" w:cs="Arial"/>
          <w:sz w:val="21"/>
          <w:szCs w:val="21"/>
        </w:rPr>
      </w:pPr>
    </w:p>
    <w:p w:rsidRPr="008752E4" w:rsidR="008752E4" w:rsidP="008752E4" w:rsidRDefault="008752E4" w14:paraId="7177FF6F" w14:textId="6287E344">
      <w:pPr>
        <w:pStyle w:val="Prrafodelista"/>
        <w:shd w:val="clear" w:color="auto" w:fill="FFFFFF" w:themeFill="background1"/>
        <w:ind w:left="0"/>
        <w:jc w:val="both"/>
        <w:rPr>
          <w:rFonts w:ascii="Arial" w:hAnsi="Arial" w:eastAsia="Arial" w:cs="Arial"/>
          <w:sz w:val="21"/>
          <w:szCs w:val="21"/>
        </w:rPr>
      </w:pPr>
      <w:r w:rsidRPr="008752E4">
        <w:rPr>
          <w:rFonts w:ascii="Arial" w:hAnsi="Arial" w:eastAsia="Arial" w:cs="Arial"/>
          <w:sz w:val="21"/>
          <w:szCs w:val="21"/>
        </w:rPr>
        <w:t>Para garantizar la integridad técnica y el desempeño analítico de estos insumos especializados, el proceso contractual exige el cumplimiento estricto de las condiciones de almacenamiento y transporte recomendadas por los fabricantes, respaldadas por sistemas de vigilancia logística que aseguren la estabilidad molecular de los componentes. Al tratarse de reactivos esenciales para la síntesis de ácidos nucleicos in vitro, cualquier desviación en su manejo logístico podría comprometer la actividad enzimática o la hibridación de las sondas, afectando directamente la sensibilidad de los ensayos y elevando el riesgo de resultados falsos negativos en las plataformas.</w:t>
      </w:r>
    </w:p>
    <w:p w:rsidRPr="008752E4" w:rsidR="008752E4" w:rsidP="008752E4" w:rsidRDefault="008752E4" w14:paraId="238F3B90" w14:textId="77777777">
      <w:pPr>
        <w:pStyle w:val="Prrafodelista"/>
        <w:shd w:val="clear" w:color="auto" w:fill="FFFFFF" w:themeFill="background1"/>
        <w:ind w:left="0"/>
        <w:jc w:val="both"/>
        <w:rPr>
          <w:rFonts w:ascii="Arial" w:hAnsi="Arial" w:eastAsia="Arial" w:cs="Arial"/>
          <w:sz w:val="21"/>
          <w:szCs w:val="21"/>
        </w:rPr>
      </w:pPr>
    </w:p>
    <w:p w:rsidR="00A430A6" w:rsidP="008752E4" w:rsidRDefault="008752E4" w14:paraId="4F061D60" w14:textId="48ECCF11">
      <w:pPr>
        <w:pStyle w:val="Prrafodelista"/>
        <w:shd w:val="clear" w:color="auto" w:fill="FFFFFF" w:themeFill="background1"/>
        <w:ind w:left="0"/>
        <w:jc w:val="both"/>
        <w:rPr>
          <w:rFonts w:asciiTheme="minorHAnsi" w:hAnsiTheme="minorHAnsi" w:eastAsiaTheme="minorEastAsia" w:cstheme="minorBidi"/>
          <w:sz w:val="22"/>
          <w:szCs w:val="22"/>
          <w:lang w:val="es-CO"/>
        </w:rPr>
      </w:pPr>
      <w:r w:rsidRPr="008752E4">
        <w:rPr>
          <w:rFonts w:ascii="Arial" w:hAnsi="Arial" w:eastAsia="Arial" w:cs="Arial"/>
          <w:sz w:val="21"/>
          <w:szCs w:val="21"/>
        </w:rPr>
        <w:t>Finalmente, la entrega de estos insumos está sujeta a cronogramas optimizados para blindar la continuidad de las áreas técnicas de la Subdirección del Laboratorio de Salud Pública de la Secretaría Distrital de Salud. Los tiempos de entrega deben ser dinámicos y responder con agilidad a las alertas epidemiológicas de la ciudad, incorporando un modelo de apoyo tecnológico que asegure la asesoría especializada y el soporte técnico permanente en la estandarización de las pruebas moleculares. Este enfoque integral mitiga los riesgos derivados de la volatilidad económica y la alta dependencia de importaciones, asegurando que la infraestructura de vigilancia de enfermedades, consumo y factores ambientales cuente de forma ininterrumpida con suministros de características técnicas uniformes, de alta disponibilidad y con el respaldo científico necesario para la toma de decisiones sanitarias basadas en evidencia.</w:t>
      </w:r>
    </w:p>
    <w:p w:rsidR="00A430A6" w:rsidP="00A430A6" w:rsidRDefault="00A430A6" w14:paraId="1A87EFB2" w14:textId="77777777">
      <w:pPr>
        <w:pStyle w:val="Prrafodelista"/>
        <w:shd w:val="clear" w:color="auto" w:fill="FFFFFF" w:themeFill="background1"/>
        <w:jc w:val="both"/>
        <w:rPr>
          <w:rFonts w:ascii="Arial" w:hAnsi="Arial" w:cs="Arial"/>
          <w:b/>
          <w:bCs/>
          <w:sz w:val="21"/>
          <w:szCs w:val="21"/>
          <w:highlight w:val="yellow"/>
          <w:lang w:val="es-CO" w:eastAsia="ar-SA"/>
        </w:rPr>
      </w:pPr>
    </w:p>
    <w:p w:rsidRPr="003D0ADA" w:rsidR="002F68EE" w:rsidP="08A3645B" w:rsidRDefault="002F68EE" w14:paraId="39FE0A1F" w14:textId="58C90433">
      <w:pPr>
        <w:pStyle w:val="Prrafodelista"/>
        <w:numPr>
          <w:ilvl w:val="0"/>
          <w:numId w:val="30"/>
        </w:numPr>
        <w:spacing w:after="160"/>
        <w:rPr>
          <w:rFonts w:ascii="Arial" w:hAnsi="Arial" w:cs="Arial"/>
          <w:b/>
          <w:bCs/>
          <w:spacing w:val="-2"/>
          <w:sz w:val="21"/>
          <w:szCs w:val="21"/>
          <w:lang w:val="es-CO" w:eastAsia="ar-SA"/>
        </w:rPr>
      </w:pPr>
      <w:r w:rsidRPr="003D0ADA">
        <w:rPr>
          <w:rFonts w:ascii="Arial" w:hAnsi="Arial" w:cs="Arial"/>
          <w:b/>
          <w:bCs/>
          <w:spacing w:val="-2"/>
          <w:sz w:val="21"/>
          <w:szCs w:val="21"/>
          <w:lang w:val="es-CO" w:eastAsia="ar-SA"/>
        </w:rPr>
        <w:t>ANALISIS DEL ASPECTO LEGAL</w:t>
      </w:r>
    </w:p>
    <w:p w:rsidRPr="00803236" w:rsidR="002F68EE" w:rsidP="0CD01878" w:rsidRDefault="142FC7D3" w14:paraId="70B21167" w14:textId="6FF73270">
      <w:pPr>
        <w:spacing w:after="160"/>
      </w:pPr>
      <w:r w:rsidRPr="0C4A5C1E">
        <w:rPr>
          <w:rFonts w:ascii="Arial" w:hAnsi="Arial" w:eastAsia="Arial" w:cs="Arial"/>
          <w:sz w:val="21"/>
          <w:szCs w:val="21"/>
        </w:rPr>
        <w:t>La normatividad aplicable al proceso objeto del estudio es la siguiente:</w:t>
      </w:r>
    </w:p>
    <w:p w:rsidR="5CA9C430" w:rsidP="0C4A5C1E" w:rsidRDefault="5CA9C430" w14:paraId="4E7C724C" w14:textId="7323356B">
      <w:pPr>
        <w:pStyle w:val="Prrafodelista"/>
        <w:numPr>
          <w:ilvl w:val="0"/>
          <w:numId w:val="1"/>
        </w:numPr>
        <w:spacing w:before="240" w:after="240"/>
        <w:jc w:val="both"/>
        <w:rPr>
          <w:rFonts w:ascii="Arial" w:hAnsi="Arial" w:eastAsia="Arial" w:cs="Arial"/>
          <w:sz w:val="21"/>
          <w:szCs w:val="21"/>
        </w:rPr>
      </w:pPr>
      <w:r w:rsidRPr="0C4A5C1E">
        <w:rPr>
          <w:rFonts w:ascii="Arial" w:hAnsi="Arial" w:eastAsia="Arial" w:cs="Arial"/>
          <w:sz w:val="21"/>
          <w:szCs w:val="21"/>
        </w:rPr>
        <w:t>Constitución Política de Colombia: Norma de normas. Regula los principios de la función administrativa (Art. 209), la transparencia, la igualdad y el acceso a la contratación pública, así como el derecho a la salud y al saneamiento ambiental.</w:t>
      </w:r>
    </w:p>
    <w:p w:rsidR="5CA9C430" w:rsidP="0C4A5C1E" w:rsidRDefault="5CA9C430" w14:paraId="283861BA" w14:textId="1BB56031">
      <w:pPr>
        <w:pStyle w:val="Prrafodelista"/>
        <w:numPr>
          <w:ilvl w:val="0"/>
          <w:numId w:val="1"/>
        </w:numPr>
        <w:spacing w:before="240" w:after="240"/>
        <w:jc w:val="both"/>
        <w:rPr>
          <w:rFonts w:ascii="Arial" w:hAnsi="Arial" w:eastAsia="Arial" w:cs="Arial"/>
          <w:sz w:val="21"/>
          <w:szCs w:val="21"/>
        </w:rPr>
      </w:pPr>
      <w:r w:rsidRPr="0C4A5C1E">
        <w:rPr>
          <w:rFonts w:ascii="Arial" w:hAnsi="Arial" w:eastAsia="Arial" w:cs="Arial"/>
          <w:sz w:val="21"/>
          <w:szCs w:val="21"/>
        </w:rPr>
        <w:t>L</w:t>
      </w:r>
      <w:r w:rsidRPr="0C4A5C1E">
        <w:rPr>
          <w:rFonts w:asciiTheme="minorHAnsi" w:hAnsiTheme="minorHAnsi" w:eastAsiaTheme="minorEastAsia" w:cstheme="minorBidi"/>
          <w:sz w:val="21"/>
          <w:szCs w:val="21"/>
        </w:rPr>
        <w:t>ey 1437 de 2011: “Por la cual se expide el Código de Procedimiento Administrativo y de lo Contencioso Administrativo” (CPACA). Aplicable a las actuaciones administrativas, recursos y controversias que se deriven del proceso de selección y ejecución contractual.</w:t>
      </w:r>
    </w:p>
    <w:p w:rsidR="5CA9C430" w:rsidP="0C4A5C1E" w:rsidRDefault="5CA9C430" w14:paraId="652004C5" w14:textId="0CF16AC5">
      <w:pPr>
        <w:pStyle w:val="Prrafodelista"/>
        <w:numPr>
          <w:ilvl w:val="0"/>
          <w:numId w:val="1"/>
        </w:numPr>
        <w:spacing w:before="240" w:after="240"/>
        <w:jc w:val="both"/>
        <w:rPr>
          <w:rFonts w:ascii="Arial" w:hAnsi="Arial" w:eastAsia="Arial" w:cs="Arial"/>
          <w:sz w:val="21"/>
          <w:szCs w:val="21"/>
        </w:rPr>
      </w:pPr>
      <w:r w:rsidRPr="0C4A5C1E">
        <w:rPr>
          <w:rFonts w:asciiTheme="minorHAnsi" w:hAnsiTheme="minorHAnsi" w:eastAsiaTheme="minorEastAsia" w:cstheme="minorBidi"/>
          <w:sz w:val="21"/>
          <w:szCs w:val="21"/>
        </w:rPr>
        <w:t>Ley 80 de 1993: “Por la cual se expide el Estatuto General de Contratación de la Administración Pública”. Define las reglas, principios y deberes del Estado y los contratistas en los procesos de selección y ejecución.</w:t>
      </w:r>
    </w:p>
    <w:p w:rsidR="5CA9C430" w:rsidP="0C4A5C1E" w:rsidRDefault="5CA9C430" w14:paraId="2EA68E07" w14:textId="228A90DC">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Ley 1150 de 2007: Introduce medidas de eficiencia, transparencia y las modalidades de selección para la contratación con cargo a recursos públicos.</w:t>
      </w:r>
    </w:p>
    <w:p w:rsidR="0C4A5C1E" w:rsidP="0C4A5C1E" w:rsidRDefault="0C4A5C1E" w14:paraId="0C5C5260" w14:textId="6B8B2B84">
      <w:pPr>
        <w:pStyle w:val="Prrafodelista"/>
        <w:ind w:left="720"/>
        <w:jc w:val="both"/>
        <w:rPr>
          <w:rFonts w:ascii="Arial" w:hAnsi="Arial" w:eastAsia="Arial" w:cs="Arial"/>
          <w:sz w:val="21"/>
          <w:szCs w:val="21"/>
        </w:rPr>
      </w:pPr>
    </w:p>
    <w:p w:rsidR="5CA9C430" w:rsidP="0C4A5C1E" w:rsidRDefault="5CA9C430" w14:paraId="56DECFFE" w14:textId="7050F758">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Decreto Único Reglamentario 1082 de 2015: “Por medio del cual se expide el Decreto Único Reglamentario del Sector Administrativo de Planeación Nacional”. Compila y unifica las reglas del sistema de compras y contratación pública en Colombia.</w:t>
      </w:r>
    </w:p>
    <w:p w:rsidR="0C4A5C1E" w:rsidP="0C4A5C1E" w:rsidRDefault="0C4A5C1E" w14:paraId="5D86E47C" w14:textId="7ED97E41">
      <w:pPr>
        <w:pStyle w:val="Prrafodelista"/>
        <w:ind w:left="720"/>
        <w:jc w:val="both"/>
        <w:rPr>
          <w:rFonts w:ascii="Arial" w:hAnsi="Arial" w:eastAsia="Arial" w:cs="Arial"/>
          <w:sz w:val="21"/>
          <w:szCs w:val="21"/>
        </w:rPr>
      </w:pPr>
    </w:p>
    <w:p w:rsidR="5CA9C430" w:rsidP="0C4A5C1E" w:rsidRDefault="5CA9C430" w14:paraId="6284FD06" w14:textId="7A4EF45C">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Modificado por Decreto 680 de 2021: Regula la regla de origen de servicios en el Sistema de Compra Pública.</w:t>
      </w:r>
    </w:p>
    <w:p w:rsidR="0C4A5C1E" w:rsidP="0C4A5C1E" w:rsidRDefault="0C4A5C1E" w14:paraId="1D4BEBD2" w14:textId="2EF79B57">
      <w:pPr>
        <w:pStyle w:val="Prrafodelista"/>
        <w:ind w:left="720"/>
        <w:jc w:val="both"/>
        <w:rPr>
          <w:rFonts w:ascii="Arial" w:hAnsi="Arial" w:eastAsia="Arial" w:cs="Arial"/>
          <w:sz w:val="21"/>
          <w:szCs w:val="21"/>
        </w:rPr>
      </w:pPr>
    </w:p>
    <w:p w:rsidR="50A96A4D" w:rsidP="0C4A5C1E" w:rsidRDefault="50A96A4D" w14:paraId="789A5B09" w14:textId="6B234E63">
      <w:pPr>
        <w:pStyle w:val="Prrafodelista"/>
        <w:numPr>
          <w:ilvl w:val="0"/>
          <w:numId w:val="1"/>
        </w:numPr>
        <w:jc w:val="both"/>
        <w:rPr>
          <w:rFonts w:ascii="Arial" w:hAnsi="Arial" w:cs="Arial"/>
          <w:sz w:val="21"/>
          <w:szCs w:val="21"/>
          <w:lang w:val="es-CO" w:eastAsia="ar-SA"/>
        </w:rPr>
      </w:pPr>
      <w:r w:rsidRPr="0B9B909B">
        <w:rPr>
          <w:rFonts w:ascii="Arial" w:hAnsi="Arial" w:cs="Arial"/>
          <w:sz w:val="21"/>
          <w:szCs w:val="21"/>
          <w:lang w:val="es-CO" w:eastAsia="ar-SA"/>
        </w:rPr>
        <w:t>Decreto 1860 de 2021 – Por el cual se modifica y adiciona el Decreto 1082 de 2015, Único Reglamentario del Sector Administrativo de Planeación Nacional, con el fin de reglamentar los artículos 30,31,32,34, y 35 de la Ley 2069 de 2020, en lo relativo al sistema de compras públicas y se dictan otras disposiciones.</w:t>
      </w:r>
    </w:p>
    <w:p w:rsidR="0C4A5C1E" w:rsidP="0C4A5C1E" w:rsidRDefault="0C4A5C1E" w14:paraId="535A0F1C" w14:textId="1C555544">
      <w:pPr>
        <w:pStyle w:val="Prrafodelista"/>
        <w:ind w:left="720"/>
        <w:jc w:val="both"/>
        <w:rPr>
          <w:rFonts w:ascii="Arial" w:hAnsi="Arial" w:cs="Arial"/>
          <w:sz w:val="21"/>
          <w:szCs w:val="21"/>
          <w:lang w:val="es-CO" w:eastAsia="ar-SA"/>
        </w:rPr>
      </w:pPr>
    </w:p>
    <w:p w:rsidR="5CA9C430" w:rsidP="0C4A5C1E" w:rsidRDefault="5CA9C430" w14:paraId="6BE424A1" w14:textId="535B86AE">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Modificado por Decreto 142 de 2023: Introduce criterios sociales, ambientales y de emprendimiento comunal para el acceso de Mipymes y cooperativas al sistema de compras estatales.</w:t>
      </w:r>
    </w:p>
    <w:p w:rsidR="0C4A5C1E" w:rsidP="0C4A5C1E" w:rsidRDefault="0C4A5C1E" w14:paraId="29486447" w14:textId="2F6BE553">
      <w:pPr>
        <w:pStyle w:val="Prrafodelista"/>
        <w:ind w:left="720"/>
        <w:jc w:val="both"/>
        <w:rPr>
          <w:rFonts w:ascii="Arial" w:hAnsi="Arial" w:eastAsia="Arial" w:cs="Arial"/>
          <w:sz w:val="21"/>
          <w:szCs w:val="21"/>
        </w:rPr>
      </w:pPr>
    </w:p>
    <w:p w:rsidR="5CA9C430" w:rsidP="0C4A5C1E" w:rsidRDefault="5CA9C430" w14:paraId="38A701E8" w14:textId="3108175D">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Modificado y complementado por el Decreto 287 de 2026: Actualiza los topes de contratación, las dinámicas de agregación de demanda y los criterios de ponderación para la simplificación de trámites en los procesos de selección estatal, en concordancia con el plan de desarrollo vigente.</w:t>
      </w:r>
    </w:p>
    <w:p w:rsidR="0C4A5C1E" w:rsidP="0C4A5C1E" w:rsidRDefault="0C4A5C1E" w14:paraId="621F2E5D" w14:textId="2DC14D93">
      <w:pPr>
        <w:pStyle w:val="Prrafodelista"/>
        <w:ind w:left="720"/>
        <w:jc w:val="both"/>
        <w:rPr>
          <w:rFonts w:ascii="Arial" w:hAnsi="Arial" w:eastAsia="Arial" w:cs="Arial"/>
          <w:sz w:val="21"/>
          <w:szCs w:val="21"/>
        </w:rPr>
      </w:pPr>
    </w:p>
    <w:p w:rsidR="5CA9C430" w:rsidP="0C4A5C1E" w:rsidRDefault="5CA9C430" w14:paraId="43E7FAB5" w14:textId="53C4BFD4">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Ley 816 de 2003: “Por medio de la cual se apoya a la industria nacional a través de la contratación pública” (modificada por el Decreto-Ley 019 de 2012 - Ley Antitrámites).</w:t>
      </w:r>
    </w:p>
    <w:p w:rsidR="0C4A5C1E" w:rsidP="0C4A5C1E" w:rsidRDefault="0C4A5C1E" w14:paraId="09FB6318" w14:textId="1C14374C">
      <w:pPr>
        <w:pStyle w:val="Prrafodelista"/>
        <w:ind w:left="720"/>
        <w:jc w:val="both"/>
        <w:rPr>
          <w:rFonts w:ascii="Arial" w:hAnsi="Arial" w:eastAsia="Arial" w:cs="Arial"/>
          <w:sz w:val="21"/>
          <w:szCs w:val="21"/>
        </w:rPr>
      </w:pPr>
    </w:p>
    <w:p w:rsidR="5CA9C430" w:rsidP="0C4A5C1E" w:rsidRDefault="5CA9C430" w14:paraId="1D7D22E0" w14:textId="24DEAFF0">
      <w:pPr>
        <w:pStyle w:val="Prrafodelista"/>
        <w:numPr>
          <w:ilvl w:val="0"/>
          <w:numId w:val="1"/>
        </w:numPr>
        <w:jc w:val="both"/>
        <w:rPr>
          <w:rFonts w:ascii="Arial" w:hAnsi="Arial" w:eastAsia="Arial" w:cs="Arial"/>
          <w:sz w:val="21"/>
          <w:szCs w:val="21"/>
        </w:rPr>
      </w:pPr>
      <w:r w:rsidRPr="0C4A5C1E">
        <w:rPr>
          <w:rFonts w:asciiTheme="minorHAnsi" w:hAnsiTheme="minorHAnsi" w:eastAsiaTheme="minorEastAsia" w:cstheme="minorBidi"/>
          <w:sz w:val="21"/>
          <w:szCs w:val="21"/>
        </w:rPr>
        <w:t>Ley 1474 de 2011 (Estatuto Anticorrupción): “Por la cual se dictan normas orientadas a fortalecer los mecanismos de prevención, investigación y sanción de actos de corrupción...”, modificada y complementada por la Ley 2195 de 2022 para adoptar medidas de transparencia y lucha contra la corrupción.</w:t>
      </w:r>
    </w:p>
    <w:p w:rsidR="0C4A5C1E" w:rsidP="0C4A5C1E" w:rsidRDefault="0C4A5C1E" w14:paraId="0280A0C2" w14:textId="2CCB1C1B">
      <w:pPr>
        <w:pStyle w:val="Prrafodelista"/>
        <w:ind w:left="720"/>
        <w:jc w:val="both"/>
        <w:rPr>
          <w:rFonts w:ascii="Arial" w:hAnsi="Arial" w:eastAsia="Arial" w:cs="Arial"/>
          <w:sz w:val="21"/>
          <w:szCs w:val="21"/>
        </w:rPr>
      </w:pPr>
    </w:p>
    <w:p w:rsidRPr="00803236" w:rsidR="002F68EE" w:rsidP="0C4A5C1E" w:rsidRDefault="56D8C866" w14:paraId="4620BE09" w14:textId="3CAA37C8">
      <w:pPr>
        <w:pStyle w:val="Prrafodelista"/>
        <w:numPr>
          <w:ilvl w:val="0"/>
          <w:numId w:val="1"/>
        </w:numPr>
        <w:spacing w:after="160"/>
        <w:jc w:val="both"/>
        <w:rPr>
          <w:rFonts w:ascii="Arial" w:hAnsi="Arial" w:cs="Arial"/>
          <w:sz w:val="21"/>
          <w:szCs w:val="21"/>
          <w:lang w:val="es-CO" w:eastAsia="ar-SA"/>
        </w:rPr>
      </w:pPr>
      <w:r w:rsidRPr="0C4A5C1E">
        <w:rPr>
          <w:rFonts w:ascii="Arial" w:hAnsi="Arial" w:cs="Arial" w:eastAsiaTheme="minorEastAsia"/>
          <w:sz w:val="21"/>
          <w:szCs w:val="21"/>
          <w:lang w:val="es-CO" w:eastAsia="ar-SA"/>
        </w:rPr>
        <w:t xml:space="preserve">El </w:t>
      </w:r>
      <w:r w:rsidRPr="0C4A5C1E" w:rsidR="38D4CBC1">
        <w:rPr>
          <w:rFonts w:ascii="Arial" w:hAnsi="Arial" w:cs="Arial" w:eastAsiaTheme="minorEastAsia"/>
          <w:sz w:val="21"/>
          <w:szCs w:val="21"/>
          <w:lang w:val="es-CO" w:eastAsia="ar-SA"/>
        </w:rPr>
        <w:t>D</w:t>
      </w:r>
      <w:r w:rsidRPr="0C4A5C1E" w:rsidR="38D4CBC1">
        <w:rPr>
          <w:rFonts w:ascii="Arial" w:hAnsi="Arial" w:cs="Arial" w:eastAsiaTheme="minorEastAsia"/>
          <w:sz w:val="21"/>
          <w:szCs w:val="21"/>
          <w:lang w:eastAsia="ar-SA"/>
        </w:rPr>
        <w:t xml:space="preserve">ecreto 2323 de 2006, compilado en el Decreto Único Reglamentario 780 de 2016 expedido por el Ministerio de Salud y Protección, </w:t>
      </w:r>
      <w:r w:rsidRPr="0C4A5C1E" w:rsidR="38D4CBC1">
        <w:rPr>
          <w:rFonts w:ascii="Arial" w:hAnsi="Arial" w:cs="Arial" w:eastAsiaTheme="minorEastAsia"/>
          <w:i/>
          <w:iCs/>
          <w:sz w:val="21"/>
          <w:szCs w:val="21"/>
          <w:lang w:eastAsia="ar-SA"/>
        </w:rPr>
        <w:t>“Por medio del cual se expide el Decreto Único Reglamentario del Sector Salud y Protección Social”</w:t>
      </w:r>
      <w:r w:rsidRPr="0C4A5C1E" w:rsidR="38D4CBC1">
        <w:rPr>
          <w:rFonts w:ascii="Arial" w:hAnsi="Arial" w:cs="Arial" w:eastAsiaTheme="minorEastAsia"/>
          <w:sz w:val="21"/>
          <w:szCs w:val="21"/>
          <w:lang w:eastAsia="ar-SA"/>
        </w:rPr>
        <w:t xml:space="preserve">, debe garantizar el funcionamiento de la Red Distrital de Laboratorios, en las líneas estratégicas para la </w:t>
      </w:r>
      <w:r w:rsidRPr="0C4A5C1E" w:rsidR="38D4CBC1">
        <w:rPr>
          <w:rFonts w:ascii="Arial" w:hAnsi="Arial" w:cs="Arial" w:eastAsiaTheme="minorEastAsia"/>
          <w:sz w:val="21"/>
          <w:szCs w:val="21"/>
          <w:lang w:eastAsia="ar-SA"/>
        </w:rPr>
        <w:t>Vigilancia en Salud Pública, la gestión de la calidad, la prestación de los servicios y la investigación, en el apoyo a la vigilancia en salud pública para la vigilancia de eventos interés en salud pública y vigilancia sanitaria</w:t>
      </w:r>
      <w:r w:rsidRPr="0C4A5C1E" w:rsidR="75EE6618">
        <w:rPr>
          <w:rFonts w:ascii="Arial" w:hAnsi="Arial" w:cs="Arial" w:eastAsiaTheme="minorEastAsia"/>
          <w:sz w:val="21"/>
          <w:szCs w:val="21"/>
          <w:lang w:val="es-CO" w:eastAsia="ar-SA"/>
        </w:rPr>
        <w:t>.</w:t>
      </w:r>
    </w:p>
    <w:p w:rsidRPr="00803236" w:rsidR="002F68EE" w:rsidP="0C4A5C1E" w:rsidRDefault="19232682" w14:paraId="1C17BD0F" w14:textId="403AEE57">
      <w:pPr>
        <w:pStyle w:val="Prrafodelista"/>
        <w:numPr>
          <w:ilvl w:val="0"/>
          <w:numId w:val="1"/>
        </w:numPr>
        <w:spacing w:after="160"/>
        <w:jc w:val="both"/>
        <w:rPr>
          <w:rFonts w:ascii="Arial" w:hAnsi="Arial" w:cs="Arial"/>
          <w:spacing w:val="-2"/>
          <w:sz w:val="21"/>
          <w:szCs w:val="21"/>
          <w:lang w:val="es-CO" w:eastAsia="ar-SA"/>
        </w:rPr>
      </w:pPr>
      <w:r w:rsidRPr="00803236">
        <w:rPr>
          <w:rFonts w:ascii="Arial" w:hAnsi="Arial" w:cs="Arial"/>
          <w:spacing w:val="-2"/>
          <w:sz w:val="21"/>
          <w:szCs w:val="21"/>
          <w:lang w:val="es-CO" w:eastAsia="ar-SA"/>
        </w:rPr>
        <w:t xml:space="preserve">Decreto 3518 de 2006, por el cual se crea y reglamenta el Sistema de Vigilancia en Salud Publica, en su </w:t>
      </w:r>
      <w:r w:rsidRPr="00803236" w:rsidR="166437FF">
        <w:rPr>
          <w:rFonts w:ascii="Arial" w:hAnsi="Arial" w:cs="Arial"/>
          <w:spacing w:val="-2"/>
          <w:sz w:val="21"/>
          <w:szCs w:val="21"/>
          <w:lang w:val="es-CO" w:eastAsia="ar-SA"/>
        </w:rPr>
        <w:t>artículo</w:t>
      </w:r>
      <w:r w:rsidRPr="00803236">
        <w:rPr>
          <w:rFonts w:ascii="Arial" w:hAnsi="Arial" w:cs="Arial"/>
          <w:spacing w:val="-2"/>
          <w:sz w:val="21"/>
          <w:szCs w:val="21"/>
          <w:lang w:val="es-CO" w:eastAsia="ar-SA"/>
        </w:rPr>
        <w:t xml:space="preserve"> 9 indica las funciones de las direcciones departamentales y distritales de Salud, en las cuales incluye organizar y coordinar la red de vigilancia en salud pública de los eventos de interés de salud pública, de acuerdo con los lineamientos establecidos por el Ministerio de Salud y Protección Social.</w:t>
      </w:r>
    </w:p>
    <w:p w:rsidRPr="00803236" w:rsidR="007C5950" w:rsidP="0C4A5C1E" w:rsidRDefault="55494573" w14:paraId="4EFD43DC" w14:textId="28DA9525">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 xml:space="preserve"> Las demás normas que regulen el presente proceso.</w:t>
      </w:r>
    </w:p>
    <w:p w:rsidRPr="00803236" w:rsidR="007C5950" w:rsidP="0C4A5C1E" w:rsidRDefault="55494573" w14:paraId="64987F76" w14:textId="56911D49">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Entidades que participan en la regulación de sustancias químicas:</w:t>
      </w:r>
    </w:p>
    <w:p w:rsidRPr="00803236" w:rsidR="007C5950" w:rsidP="0C4A5C1E" w:rsidRDefault="55494573" w14:paraId="181D5A7B" w14:textId="698F2102">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Ministerio de Salud y Protección Social</w:t>
      </w:r>
    </w:p>
    <w:p w:rsidRPr="00803236" w:rsidR="007C5950" w:rsidP="0C4A5C1E" w:rsidRDefault="55494573" w14:paraId="32F23015" w14:textId="46D26BB4">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Ministerio de Medio Ambiente y Desarrollo Sostenible</w:t>
      </w:r>
    </w:p>
    <w:p w:rsidRPr="00803236" w:rsidR="007C5950" w:rsidP="0C4A5C1E" w:rsidRDefault="55494573" w14:paraId="117AA92B" w14:textId="27422096">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Instituto Nacional de Salud</w:t>
      </w:r>
    </w:p>
    <w:p w:rsidRPr="00803236" w:rsidR="007C5950" w:rsidP="0C4A5C1E" w:rsidRDefault="55494573" w14:paraId="2EE8F070" w14:textId="57EDFC17">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Instituto Nacional de Vigilancia de Medicamentos y Alimentos – INVIMA</w:t>
      </w:r>
    </w:p>
    <w:p w:rsidRPr="00803236" w:rsidR="007C5950" w:rsidP="0C4A5C1E" w:rsidRDefault="55494573" w14:paraId="0230E17F" w14:textId="2FD6637C">
      <w:pPr>
        <w:pStyle w:val="Prrafodelista"/>
        <w:numPr>
          <w:ilvl w:val="0"/>
          <w:numId w:val="1"/>
        </w:numPr>
        <w:spacing w:after="160"/>
        <w:jc w:val="both"/>
        <w:rPr>
          <w:rFonts w:ascii="Arial" w:hAnsi="Arial" w:cs="Arial"/>
          <w:spacing w:val="-2"/>
          <w:sz w:val="21"/>
          <w:szCs w:val="21"/>
          <w:lang w:val="es-CO" w:eastAsia="ar-SA"/>
        </w:rPr>
      </w:pPr>
      <w:r w:rsidRPr="0C4A5C1E">
        <w:rPr>
          <w:rFonts w:ascii="Arial" w:hAnsi="Arial" w:cs="Arial"/>
          <w:spacing w:val="-2"/>
          <w:sz w:val="21"/>
          <w:szCs w:val="21"/>
          <w:lang w:val="es-CO" w:eastAsia="ar-SA"/>
        </w:rPr>
        <w:t>Fondo Nacional de Estupefacientes</w:t>
      </w:r>
    </w:p>
    <w:p w:rsidRPr="00803236" w:rsidR="00027B40" w:rsidP="0C4A5C1E" w:rsidRDefault="32EA793E" w14:paraId="333261A7" w14:textId="1D147E24">
      <w:pPr>
        <w:pStyle w:val="Prrafodelista"/>
        <w:numPr>
          <w:ilvl w:val="0"/>
          <w:numId w:val="1"/>
        </w:numPr>
        <w:spacing w:after="160"/>
        <w:jc w:val="both"/>
        <w:rPr>
          <w:rFonts w:ascii="Arial" w:hAnsi="Arial" w:cs="Arial"/>
          <w:sz w:val="21"/>
          <w:szCs w:val="21"/>
          <w:lang w:val="es-CO" w:eastAsia="ar-SA"/>
        </w:rPr>
      </w:pPr>
      <w:r w:rsidRPr="00803236">
        <w:rPr>
          <w:rFonts w:ascii="Arial" w:hAnsi="Arial" w:cs="Arial"/>
          <w:spacing w:val="-2"/>
          <w:sz w:val="21"/>
          <w:szCs w:val="21"/>
          <w:lang w:val="es-CO" w:eastAsia="ar-SA"/>
        </w:rPr>
        <w:t xml:space="preserve">Decreto 142 de 2023 - Por el cual se modifica y adiciona el Decreto 1082 de 2015, Único Reglamentario del Sector Administrativo de Planeación Nacional para promover el acceso al sistema de Compras Públicas de las Mipymes, las Cooperativas y demás entidades de la economía solidaria, se incorporan criterios sociales y ambientales en los Procesos de Contratación de las Entidades Estatales, </w:t>
      </w:r>
      <w:r w:rsidRPr="0C4A5C1E">
        <w:rPr>
          <w:rFonts w:asciiTheme="minorHAnsi" w:hAnsiTheme="minorHAnsi" w:eastAsiaTheme="minorEastAsia" w:cstheme="minorBidi"/>
          <w:sz w:val="21"/>
          <w:szCs w:val="21"/>
          <w:lang w:val="es-CO" w:eastAsia="ar-SA"/>
        </w:rPr>
        <w:t>se incluye el Título de emprendimiento comunal y se dictan otras disposiciones</w:t>
      </w:r>
      <w:r w:rsidRPr="0C4A5C1E" w:rsidR="0FD1D743">
        <w:rPr>
          <w:rFonts w:asciiTheme="minorHAnsi" w:hAnsiTheme="minorHAnsi" w:eastAsiaTheme="minorEastAsia" w:cstheme="minorBidi"/>
          <w:sz w:val="21"/>
          <w:szCs w:val="21"/>
          <w:lang w:val="es-CO" w:eastAsia="ar-SA"/>
        </w:rPr>
        <w:t>.</w:t>
      </w:r>
    </w:p>
    <w:p w:rsidR="0FD1D743" w:rsidP="0C4A5C1E" w:rsidRDefault="0FD1D743" w14:paraId="223E0D62" w14:textId="553BF521">
      <w:pPr>
        <w:pStyle w:val="Prrafodelista"/>
        <w:numPr>
          <w:ilvl w:val="0"/>
          <w:numId w:val="1"/>
        </w:numPr>
        <w:spacing w:after="160"/>
        <w:jc w:val="both"/>
        <w:rPr>
          <w:rFonts w:ascii="Arial" w:hAnsi="Arial" w:cs="Arial"/>
          <w:sz w:val="21"/>
          <w:szCs w:val="21"/>
          <w:lang w:val="es-CO" w:eastAsia="ar-SA"/>
        </w:rPr>
      </w:pPr>
      <w:r w:rsidRPr="0C4A5C1E">
        <w:rPr>
          <w:rFonts w:asciiTheme="minorHAnsi" w:hAnsiTheme="minorHAnsi" w:eastAsiaTheme="minorEastAsia" w:cstheme="minorBidi"/>
          <w:sz w:val="21"/>
          <w:szCs w:val="21"/>
          <w:lang w:val="es-CO" w:eastAsia="ar-SA"/>
        </w:rPr>
        <w:t>Ley 9 de 1979 (Código Sanitario Nacional): Establece las condiciones sanitarias para el almacenamiento, transporte y conservación de productos farmacéuticos, biológicos y reactivos de diagnóstico.</w:t>
      </w:r>
    </w:p>
    <w:p w:rsidR="0FD1D743" w:rsidP="0C4A5C1E" w:rsidRDefault="0FD1D743" w14:paraId="5E025D2D" w14:textId="1C432C49">
      <w:pPr>
        <w:pStyle w:val="Prrafodelista"/>
        <w:numPr>
          <w:ilvl w:val="0"/>
          <w:numId w:val="1"/>
        </w:numPr>
        <w:rPr>
          <w:rFonts w:ascii="Arial" w:hAnsi="Arial" w:cs="Arial"/>
          <w:sz w:val="21"/>
          <w:szCs w:val="21"/>
          <w:lang w:eastAsia="ar-SA"/>
        </w:rPr>
      </w:pPr>
      <w:r w:rsidRPr="0C4A5C1E">
        <w:rPr>
          <w:rFonts w:asciiTheme="minorHAnsi" w:hAnsiTheme="minorHAnsi" w:eastAsiaTheme="minorEastAsia" w:cstheme="minorBidi"/>
          <w:sz w:val="21"/>
          <w:szCs w:val="21"/>
          <w:lang w:eastAsia="ar-SA"/>
        </w:rPr>
        <w:t>Resolución 1160 de 2020 (INVIMA): Establece los manuales de Buenas Prácticas de Manufactura, Almacenamiento y Distribución para productos biológicos y reactivos, donde se dictan las pautas estrictas para la calificación y monitoreo de las condiciones de temperatura (cadena de frío).</w:t>
      </w:r>
    </w:p>
    <w:p w:rsidR="0C4A5C1E" w:rsidP="0C4A5C1E" w:rsidRDefault="0C4A5C1E" w14:paraId="175DDC50" w14:textId="11D550ED">
      <w:pPr>
        <w:pStyle w:val="Prrafodelista"/>
        <w:ind w:left="720"/>
        <w:rPr>
          <w:rFonts w:ascii="Arial" w:hAnsi="Arial" w:cs="Arial"/>
          <w:sz w:val="21"/>
          <w:szCs w:val="21"/>
          <w:lang w:eastAsia="ar-SA"/>
        </w:rPr>
      </w:pPr>
    </w:p>
    <w:p w:rsidR="0FD1D743" w:rsidP="0C4A5C1E" w:rsidRDefault="0FD1D743" w14:paraId="0FF0D87A" w14:textId="5DA44BFD">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Resolución 3100 de 2019 (Minsalud): Define las condiciones de habilitación de los servicios de salud y laboratorios, exigiendo el estricto control de temperatura, calibración de equipos y registro continuo para garantizar la estabilidad analítica de los insumos.</w:t>
      </w:r>
    </w:p>
    <w:p w:rsidR="0C4A5C1E" w:rsidP="0C4A5C1E" w:rsidRDefault="0C4A5C1E" w14:paraId="0F2BFFBB" w14:textId="5ED698A9">
      <w:pPr>
        <w:pStyle w:val="Prrafodelista"/>
        <w:ind w:left="720"/>
        <w:jc w:val="both"/>
        <w:rPr>
          <w:rFonts w:asciiTheme="minorHAnsi" w:hAnsiTheme="minorHAnsi" w:eastAsiaTheme="minorEastAsia" w:cstheme="minorBidi"/>
          <w:sz w:val="21"/>
          <w:szCs w:val="21"/>
          <w:lang w:eastAsia="ar-SA"/>
        </w:rPr>
      </w:pPr>
    </w:p>
    <w:p w:rsidR="61193FF4" w:rsidP="0C4A5C1E" w:rsidRDefault="61193FF4" w14:paraId="65B56025" w14:textId="1B3657C1">
      <w:pPr>
        <w:pStyle w:val="Prrafodelista"/>
        <w:numPr>
          <w:ilvl w:val="0"/>
          <w:numId w:val="1"/>
        </w:numPr>
        <w:jc w:val="both"/>
        <w:rPr>
          <w:rFonts w:asciiTheme="minorHAnsi" w:hAnsiTheme="minorHAnsi" w:eastAsiaTheme="minorEastAsia" w:cstheme="minorBidi"/>
          <w:sz w:val="21"/>
          <w:szCs w:val="21"/>
          <w:lang w:val="es-CO" w:eastAsia="ar-SA"/>
        </w:rPr>
      </w:pPr>
      <w:r w:rsidRPr="0C4A5C1E">
        <w:rPr>
          <w:rFonts w:asciiTheme="minorHAnsi" w:hAnsiTheme="minorHAnsi" w:eastAsiaTheme="minorEastAsia" w:cstheme="minorBidi"/>
          <w:sz w:val="21"/>
          <w:szCs w:val="21"/>
          <w:lang w:val="es-CO" w:eastAsia="ar-SA"/>
        </w:rPr>
        <w:t>Decreto Único Reglamentario 1076 de 2015 (Sector Ambiente y Desarrollo Sostenible): Regula la gestión integral de residuos peligrosos (RESPEL) y convencionales derivados del uso de sustancias químicas y reactivos.</w:t>
      </w:r>
    </w:p>
    <w:p w:rsidR="0C4A5C1E" w:rsidP="0C4A5C1E" w:rsidRDefault="0C4A5C1E" w14:paraId="5163B052" w14:textId="00AF49CC">
      <w:pPr>
        <w:pStyle w:val="Prrafodelista"/>
        <w:ind w:left="720"/>
        <w:jc w:val="both"/>
        <w:rPr>
          <w:rFonts w:asciiTheme="minorHAnsi" w:hAnsiTheme="minorHAnsi" w:eastAsiaTheme="minorEastAsia" w:cstheme="minorBidi"/>
          <w:sz w:val="21"/>
          <w:szCs w:val="21"/>
          <w:lang w:val="es-CO" w:eastAsia="ar-SA"/>
        </w:rPr>
      </w:pPr>
    </w:p>
    <w:p w:rsidR="61193FF4" w:rsidP="0C4A5C1E" w:rsidRDefault="61193FF4" w14:paraId="12C39D9D" w14:textId="792011AF">
      <w:pPr>
        <w:pStyle w:val="Prrafodelista"/>
        <w:numPr>
          <w:ilvl w:val="0"/>
          <w:numId w:val="1"/>
        </w:numPr>
        <w:jc w:val="both"/>
        <w:rPr>
          <w:rFonts w:asciiTheme="minorHAnsi" w:hAnsiTheme="minorHAnsi" w:eastAsiaTheme="minorEastAsia" w:cstheme="minorBidi"/>
          <w:sz w:val="21"/>
          <w:szCs w:val="21"/>
          <w:lang w:val="es-CO" w:eastAsia="ar-SA"/>
        </w:rPr>
      </w:pPr>
      <w:r w:rsidRPr="0C4A5C1E">
        <w:rPr>
          <w:rFonts w:asciiTheme="minorHAnsi" w:hAnsiTheme="minorHAnsi" w:eastAsiaTheme="minorEastAsia" w:cstheme="minorBidi"/>
          <w:sz w:val="21"/>
          <w:szCs w:val="21"/>
          <w:lang w:val="es-CO" w:eastAsia="ar-SA"/>
        </w:rPr>
        <w:t>Resolución 1833 de 2010 (Secretaría Distrital de Salud): Adopta el Plan Institucional de Gestión Ambiental (PIGA) para el sector salud en el distrito.</w:t>
      </w:r>
    </w:p>
    <w:p w:rsidR="61193FF4" w:rsidP="0C4A5C1E" w:rsidRDefault="61193FF4" w14:paraId="4047BDB9" w14:textId="67F45957">
      <w:pPr>
        <w:pStyle w:val="Prrafodelista"/>
        <w:numPr>
          <w:ilvl w:val="0"/>
          <w:numId w:val="1"/>
        </w:numPr>
        <w:jc w:val="both"/>
        <w:rPr>
          <w:rFonts w:asciiTheme="minorHAnsi" w:hAnsiTheme="minorHAnsi" w:eastAsiaTheme="minorEastAsia" w:cstheme="minorBidi"/>
          <w:sz w:val="21"/>
          <w:szCs w:val="21"/>
          <w:lang w:val="es-CO" w:eastAsia="ar-SA"/>
        </w:rPr>
      </w:pPr>
      <w:r w:rsidRPr="0C4A5C1E">
        <w:rPr>
          <w:rFonts w:asciiTheme="minorHAnsi" w:hAnsiTheme="minorHAnsi" w:eastAsiaTheme="minorEastAsia" w:cstheme="minorBidi"/>
          <w:sz w:val="21"/>
          <w:szCs w:val="21"/>
          <w:lang w:val="es-CO" w:eastAsia="ar-SA"/>
        </w:rPr>
        <w:t>Resolución 3179 de 2023: Adopta la guía técnica actualizada para la formulación, implementación, evaluación y seguimiento del Plan Institucional de Gestión Ambiental (PIGA).</w:t>
      </w:r>
    </w:p>
    <w:p w:rsidR="0C4A5C1E" w:rsidP="0C4A5C1E" w:rsidRDefault="0C4A5C1E" w14:paraId="035731A3" w14:textId="2CFB540C">
      <w:pPr>
        <w:pStyle w:val="Prrafodelista"/>
        <w:ind w:left="720"/>
        <w:jc w:val="both"/>
        <w:rPr>
          <w:rFonts w:asciiTheme="minorHAnsi" w:hAnsiTheme="minorHAnsi" w:eastAsiaTheme="minorEastAsia" w:cstheme="minorBidi"/>
          <w:sz w:val="21"/>
          <w:szCs w:val="21"/>
          <w:lang w:val="es-CO" w:eastAsia="ar-SA"/>
        </w:rPr>
      </w:pPr>
    </w:p>
    <w:p w:rsidR="61193FF4" w:rsidP="0C4A5C1E" w:rsidRDefault="61193FF4" w14:paraId="0D9D951B" w14:textId="21CF8602">
      <w:pPr>
        <w:pStyle w:val="Prrafodelista"/>
        <w:numPr>
          <w:ilvl w:val="0"/>
          <w:numId w:val="1"/>
        </w:numPr>
        <w:jc w:val="both"/>
        <w:rPr>
          <w:rFonts w:asciiTheme="minorHAnsi" w:hAnsiTheme="minorHAnsi" w:eastAsiaTheme="minorEastAsia" w:cstheme="minorBidi"/>
          <w:sz w:val="21"/>
          <w:szCs w:val="21"/>
          <w:lang w:val="es-CO" w:eastAsia="ar-SA"/>
        </w:rPr>
      </w:pPr>
      <w:r w:rsidRPr="0C4A5C1E">
        <w:rPr>
          <w:rFonts w:ascii="Arial" w:hAnsi="Arial" w:cs="Arial"/>
          <w:sz w:val="21"/>
          <w:szCs w:val="21"/>
          <w:lang w:val="es-CO" w:eastAsia="ar-SA"/>
        </w:rPr>
        <w:t>Código Sustantivo del Trabajo: Obligaciones del empleador en materia de seguridad y p</w:t>
      </w:r>
      <w:r w:rsidRPr="0C4A5C1E">
        <w:rPr>
          <w:rFonts w:asciiTheme="minorHAnsi" w:hAnsiTheme="minorHAnsi" w:eastAsiaTheme="minorEastAsia" w:cstheme="minorBidi"/>
          <w:sz w:val="21"/>
          <w:szCs w:val="21"/>
          <w:lang w:val="es-CO" w:eastAsia="ar-SA"/>
        </w:rPr>
        <w:t>revención de accidentes laborales.</w:t>
      </w:r>
    </w:p>
    <w:p w:rsidR="0C4A5C1E" w:rsidP="0C4A5C1E" w:rsidRDefault="0C4A5C1E" w14:paraId="2BB3091C" w14:textId="06BD5D1E">
      <w:pPr>
        <w:pStyle w:val="Prrafodelista"/>
        <w:ind w:left="720"/>
        <w:jc w:val="both"/>
        <w:rPr>
          <w:rFonts w:asciiTheme="minorHAnsi" w:hAnsiTheme="minorHAnsi" w:eastAsiaTheme="minorEastAsia" w:cstheme="minorBidi"/>
          <w:sz w:val="21"/>
          <w:szCs w:val="21"/>
          <w:lang w:val="es-CO" w:eastAsia="ar-SA"/>
        </w:rPr>
      </w:pPr>
    </w:p>
    <w:p w:rsidR="61193FF4" w:rsidP="0C4A5C1E" w:rsidRDefault="61193FF4" w14:paraId="0C34AE3A" w14:textId="0EC7E970">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Resolución 2400 de 1979 (Estatuto de Seguridad Industrial): Disposiciones sobre vivienda, higiene y seguridad en los establecimientos y entornos de trabajo.</w:t>
      </w:r>
    </w:p>
    <w:p w:rsidR="0C4A5C1E" w:rsidP="0C4A5C1E" w:rsidRDefault="0C4A5C1E" w14:paraId="0E5D70DF" w14:textId="5968BCAD">
      <w:pPr>
        <w:pStyle w:val="Prrafodelista"/>
        <w:ind w:left="720"/>
        <w:jc w:val="both"/>
        <w:rPr>
          <w:rFonts w:asciiTheme="minorHAnsi" w:hAnsiTheme="minorHAnsi" w:eastAsiaTheme="minorEastAsia" w:cstheme="minorBidi"/>
          <w:sz w:val="21"/>
          <w:szCs w:val="21"/>
          <w:lang w:eastAsia="ar-SA"/>
        </w:rPr>
      </w:pPr>
    </w:p>
    <w:p w:rsidR="61193FF4" w:rsidP="0C4A5C1E" w:rsidRDefault="61193FF4" w14:paraId="6B2B572F" w14:textId="26211399">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Decreto 614 de 1984 y Resolución 1016 de 1989: Determinan las bases de organización y los programas obligatorios de medicina preventiva y seguridad industrial.</w:t>
      </w:r>
    </w:p>
    <w:p w:rsidR="61193FF4" w:rsidP="0C4A5C1E" w:rsidRDefault="61193FF4" w14:paraId="3AF34464" w14:textId="2624B7B1">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Ley 100 de 1993 (Libro Tercero) junto con el Decreto 1295 de 1994: Estructuran el Sistema General de Riesgos Profesionales.</w:t>
      </w:r>
    </w:p>
    <w:p w:rsidR="0C4A5C1E" w:rsidP="0C4A5C1E" w:rsidRDefault="0C4A5C1E" w14:paraId="0C33E089" w14:textId="3EA20A9E">
      <w:pPr>
        <w:pStyle w:val="Prrafodelista"/>
        <w:ind w:left="720"/>
        <w:jc w:val="both"/>
        <w:rPr>
          <w:rFonts w:asciiTheme="minorHAnsi" w:hAnsiTheme="minorHAnsi" w:eastAsiaTheme="minorEastAsia" w:cstheme="minorBidi"/>
          <w:sz w:val="21"/>
          <w:szCs w:val="21"/>
          <w:lang w:eastAsia="ar-SA"/>
        </w:rPr>
      </w:pPr>
    </w:p>
    <w:p w:rsidR="61193FF4" w:rsidP="0C4A5C1E" w:rsidRDefault="61193FF4" w14:paraId="14EADD74" w14:textId="3488EF80">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Ley 1562 de 2012: Modifica el Sistema de Riesgos Laborales e introduce el concepto moderno de Salud Ocupacional y Seguridad en el Trabajo (SST).</w:t>
      </w:r>
    </w:p>
    <w:p w:rsidR="0C4A5C1E" w:rsidP="0C4A5C1E" w:rsidRDefault="0C4A5C1E" w14:paraId="0509B772" w14:textId="5D2C5110">
      <w:pPr>
        <w:pStyle w:val="Prrafodelista"/>
        <w:ind w:left="720"/>
        <w:jc w:val="both"/>
        <w:rPr>
          <w:rFonts w:asciiTheme="minorHAnsi" w:hAnsiTheme="minorHAnsi" w:eastAsiaTheme="minorEastAsia" w:cstheme="minorBidi"/>
          <w:sz w:val="21"/>
          <w:szCs w:val="21"/>
          <w:lang w:eastAsia="ar-SA"/>
        </w:rPr>
      </w:pPr>
    </w:p>
    <w:p w:rsidR="61193FF4" w:rsidP="0C4A5C1E" w:rsidRDefault="61193FF4" w14:paraId="014CB4D9" w14:textId="039E9C14">
      <w:pPr>
        <w:pStyle w:val="Prrafodelista"/>
        <w:numPr>
          <w:ilvl w:val="0"/>
          <w:numId w:val="1"/>
        </w:numPr>
        <w:jc w:val="both"/>
        <w:rPr>
          <w:rFonts w:asciiTheme="minorHAnsi" w:hAnsiTheme="minorHAnsi" w:eastAsiaTheme="minorEastAsia" w:cstheme="minorBidi"/>
          <w:sz w:val="21"/>
          <w:szCs w:val="21"/>
          <w:lang w:eastAsia="ar-SA"/>
        </w:rPr>
      </w:pPr>
      <w:r w:rsidRPr="0C4A5C1E">
        <w:rPr>
          <w:rFonts w:asciiTheme="minorHAnsi" w:hAnsiTheme="minorHAnsi" w:eastAsiaTheme="minorEastAsia" w:cstheme="minorBidi"/>
          <w:sz w:val="21"/>
          <w:szCs w:val="21"/>
          <w:lang w:eastAsia="ar-SA"/>
        </w:rPr>
        <w:t>Decreto Único Reglamentario 1072 de 2015 (Sector Trabajo): Específicamente el Capítulo 6, que dicta las directrices obligatorias para la implementación del Sistema de Gestión de la Seguridad y Salud en el Trabajo (SG-SST).</w:t>
      </w:r>
    </w:p>
    <w:p w:rsidR="0C4A5C1E" w:rsidP="0C4A5C1E" w:rsidRDefault="0C4A5C1E" w14:paraId="4ACD2C71" w14:textId="61BCDE65">
      <w:pPr>
        <w:pStyle w:val="Prrafodelista"/>
        <w:ind w:left="1080" w:hanging="360"/>
        <w:jc w:val="both"/>
        <w:rPr>
          <w:rFonts w:asciiTheme="minorHAnsi" w:hAnsiTheme="minorHAnsi" w:eastAsiaTheme="minorEastAsia" w:cstheme="minorBidi"/>
          <w:sz w:val="21"/>
          <w:szCs w:val="21"/>
          <w:lang w:val="es-CO" w:eastAsia="ar-SA"/>
        </w:rPr>
      </w:pPr>
    </w:p>
    <w:p w:rsidRPr="003D0ADA" w:rsidR="007C5950" w:rsidP="0C4A5C1E" w:rsidRDefault="007C5950" w14:paraId="31A95751" w14:textId="0888F0FE">
      <w:pPr>
        <w:pStyle w:val="Prrafodelista"/>
        <w:ind w:left="1080"/>
        <w:jc w:val="both"/>
        <w:rPr>
          <w:rFonts w:asciiTheme="minorHAnsi" w:hAnsiTheme="minorHAnsi" w:eastAsiaTheme="minorEastAsia" w:cstheme="minorBidi"/>
          <w:sz w:val="21"/>
          <w:szCs w:val="21"/>
          <w:lang w:eastAsia="ar-SA"/>
        </w:rPr>
      </w:pPr>
    </w:p>
    <w:p w:rsidR="5B3A922B" w:rsidP="5AFEBD85" w:rsidRDefault="0B3AEB64" w14:paraId="3726A04A" w14:textId="19EE4590">
      <w:pPr>
        <w:pStyle w:val="Textoindependiente"/>
        <w:ind w:right="-660"/>
        <w:rPr>
          <w:rFonts w:ascii="Arial" w:hAnsi="Arial" w:eastAsia="Arial" w:cs="Arial"/>
          <w:sz w:val="18"/>
          <w:szCs w:val="18"/>
        </w:rPr>
      </w:pPr>
      <w:r w:rsidRPr="0C4A5C1E">
        <w:rPr>
          <w:rFonts w:ascii="Arial" w:hAnsi="Arial" w:eastAsia="Arial" w:cs="Arial"/>
          <w:sz w:val="18"/>
          <w:szCs w:val="18"/>
        </w:rPr>
        <w:t>Elaboro</w:t>
      </w:r>
      <w:r w:rsidRPr="0C4A5C1E" w:rsidR="4CF539B1">
        <w:rPr>
          <w:rFonts w:ascii="Arial" w:hAnsi="Arial" w:eastAsia="Arial" w:cs="Arial"/>
          <w:sz w:val="18"/>
          <w:szCs w:val="18"/>
        </w:rPr>
        <w:t xml:space="preserve">: </w:t>
      </w:r>
      <w:r w:rsidRPr="0C4A5C1E" w:rsidR="0D75D065">
        <w:rPr>
          <w:rFonts w:ascii="Arial" w:hAnsi="Arial" w:eastAsia="Arial" w:cs="Arial"/>
          <w:sz w:val="18"/>
          <w:szCs w:val="18"/>
        </w:rPr>
        <w:t xml:space="preserve">Sandra </w:t>
      </w:r>
      <w:r w:rsidRPr="0C4A5C1E" w:rsidR="4EA12241">
        <w:rPr>
          <w:rFonts w:ascii="Arial" w:hAnsi="Arial" w:eastAsia="Arial" w:cs="Arial"/>
          <w:sz w:val="18"/>
          <w:szCs w:val="18"/>
        </w:rPr>
        <w:t>P</w:t>
      </w:r>
      <w:r w:rsidRPr="0C4A5C1E" w:rsidR="0D75D065">
        <w:rPr>
          <w:rFonts w:ascii="Arial" w:hAnsi="Arial" w:eastAsia="Arial" w:cs="Arial"/>
          <w:sz w:val="18"/>
          <w:szCs w:val="18"/>
        </w:rPr>
        <w:t>atricia Olivos</w:t>
      </w:r>
      <w:r w:rsidRPr="0C4A5C1E" w:rsidR="5B50444A">
        <w:rPr>
          <w:rFonts w:ascii="Arial" w:hAnsi="Arial" w:eastAsia="Arial" w:cs="Arial"/>
          <w:sz w:val="18"/>
          <w:szCs w:val="18"/>
        </w:rPr>
        <w:t xml:space="preserve"> </w:t>
      </w:r>
      <w:r w:rsidR="00482BCB">
        <w:rPr>
          <w:rFonts w:ascii="Arial" w:hAnsi="Arial" w:eastAsia="Arial" w:cs="Arial"/>
          <w:sz w:val="18"/>
          <w:szCs w:val="18"/>
        </w:rPr>
        <w:t xml:space="preserve">– </w:t>
      </w:r>
      <w:r w:rsidR="00FC46C5">
        <w:rPr>
          <w:rFonts w:ascii="Arial" w:hAnsi="Arial" w:eastAsia="Arial" w:cs="Arial"/>
          <w:sz w:val="18"/>
          <w:szCs w:val="18"/>
        </w:rPr>
        <w:t>Ángela</w:t>
      </w:r>
      <w:r w:rsidR="00482BCB">
        <w:rPr>
          <w:rFonts w:ascii="Arial" w:hAnsi="Arial" w:eastAsia="Arial" w:cs="Arial"/>
          <w:sz w:val="18"/>
          <w:szCs w:val="18"/>
        </w:rPr>
        <w:t xml:space="preserve"> </w:t>
      </w:r>
      <w:r w:rsidR="00FC46C5">
        <w:rPr>
          <w:rFonts w:ascii="Arial" w:hAnsi="Arial" w:eastAsia="Arial" w:cs="Arial"/>
          <w:sz w:val="18"/>
          <w:szCs w:val="18"/>
        </w:rPr>
        <w:t>García</w:t>
      </w:r>
      <w:r w:rsidR="00482BCB">
        <w:rPr>
          <w:rFonts w:ascii="Arial" w:hAnsi="Arial" w:eastAsia="Arial" w:cs="Arial"/>
          <w:sz w:val="18"/>
          <w:szCs w:val="18"/>
        </w:rPr>
        <w:t xml:space="preserve"> Burbano</w:t>
      </w:r>
    </w:p>
    <w:p w:rsidRPr="003D0ADA" w:rsidR="007C5950" w:rsidP="00885169" w:rsidRDefault="5B3A922B" w14:paraId="4617BB94" w14:textId="7DA78EB1">
      <w:pPr>
        <w:pStyle w:val="Textoindependiente"/>
        <w:ind w:right="-660"/>
        <w:rPr>
          <w:rFonts w:ascii="Arial" w:hAnsi="Arial" w:eastAsia="Arial" w:cs="Arial"/>
          <w:sz w:val="18"/>
          <w:szCs w:val="18"/>
        </w:rPr>
      </w:pPr>
      <w:r w:rsidRPr="003D0ADA">
        <w:rPr>
          <w:rFonts w:ascii="Arial" w:hAnsi="Arial" w:eastAsia="Arial" w:cs="Arial"/>
          <w:sz w:val="18"/>
          <w:szCs w:val="18"/>
        </w:rPr>
        <w:t>Reviso: Aleyci Moscoso Pabón</w:t>
      </w:r>
    </w:p>
    <w:p w:rsidRPr="003D0ADA" w:rsidR="007C5950" w:rsidP="2FEB837B" w:rsidRDefault="007C5950" w14:paraId="47779A6A" w14:textId="5B9B2EBB">
      <w:pPr>
        <w:pStyle w:val="Prrafodelista"/>
        <w:spacing w:after="160"/>
        <w:ind w:left="1080"/>
        <w:jc w:val="both"/>
        <w:rPr>
          <w:rFonts w:ascii="Arial" w:hAnsi="Arial" w:cs="Arial"/>
          <w:spacing w:val="-2"/>
          <w:sz w:val="21"/>
          <w:szCs w:val="21"/>
          <w:lang w:val="es-CO" w:eastAsia="ar-SA"/>
        </w:rPr>
      </w:pPr>
    </w:p>
    <w:p w:rsidRPr="003D0ADA" w:rsidR="007C5950" w:rsidP="00D86FE0" w:rsidRDefault="007C5950" w14:paraId="34105881" w14:textId="144FB6A2">
      <w:pPr>
        <w:spacing w:after="160"/>
        <w:jc w:val="both"/>
        <w:rPr>
          <w:rFonts w:ascii="Arial" w:hAnsi="Arial" w:cs="Arial"/>
          <w:bCs/>
          <w:spacing w:val="-2"/>
          <w:sz w:val="21"/>
          <w:szCs w:val="21"/>
          <w:lang w:val="es-CO" w:eastAsia="ar-SA"/>
        </w:rPr>
      </w:pPr>
      <w:bookmarkStart w:name="_GoBack" w:id="0"/>
      <w:bookmarkEnd w:id="0"/>
    </w:p>
    <w:sectPr w:rsidRPr="003D0ADA" w:rsidR="007C5950" w:rsidSect="00A5103D">
      <w:headerReference w:type="default" r:id="rId46"/>
      <w:footerReference w:type="default" r:id="rId47"/>
      <w:pgSz w:w="12242" w:h="15842" w:orient="portrait" w:code="1"/>
      <w:pgMar w:top="1134" w:right="1469" w:bottom="1134" w:left="1701" w:header="568" w:footer="720" w:gutter="0"/>
      <w:pgNumType w:start="1"/>
      <w:cols w:space="72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DM" w:author="Darwin Johan, Cristancho Mican" w:date="2026-06-17T15:43:53" w:id="279335379">
    <w:p xmlns:w14="http://schemas.microsoft.com/office/word/2010/wordml" xmlns:w="http://schemas.openxmlformats.org/wordprocessingml/2006/main" w:rsidR="01F4D603" w:rsidRDefault="781BBE69" w14:paraId="0DE9B5F8" w14:textId="3A526B9F">
      <w:pPr>
        <w:pStyle w:val="CommentText"/>
      </w:pPr>
      <w:r>
        <w:rPr>
          <w:rStyle w:val="CommentReference"/>
        </w:rPr>
        <w:annotationRef/>
      </w:r>
      <w:r w:rsidRPr="55A628B1" w:rsidR="04D9EF97">
        <w:t>Porque no se incluyo el código 41121800, este se encuentra en el PAA</w:t>
      </w:r>
    </w:p>
  </w:comment>
  <w:comment xmlns:w="http://schemas.openxmlformats.org/wordprocessingml/2006/main" w:initials="DM" w:author="Darwin Johan, Cristancho Mican" w:date="2026-06-22T10:16:09" w:id="1601334718">
    <w:p xmlns:w14="http://schemas.microsoft.com/office/word/2010/wordml" xmlns:w="http://schemas.openxmlformats.org/wordprocessingml/2006/main" w:rsidR="15AE2E37" w:rsidRDefault="1FA5CB23" w14:paraId="11803303" w14:textId="5E1541D0">
      <w:pPr>
        <w:pStyle w:val="CommentText"/>
      </w:pPr>
      <w:r>
        <w:rPr>
          <w:rStyle w:val="CommentReference"/>
        </w:rPr>
        <w:annotationRef/>
      </w:r>
      <w:r w:rsidRPr="36E3D9E4" w:rsidR="25486500">
        <w:t>Este cuadro va antes de la importancia del sector en el contexto local y nacional, revisar lineamiento.</w:t>
      </w:r>
    </w:p>
  </w:comment>
  <w:comment xmlns:w="http://schemas.openxmlformats.org/wordprocessingml/2006/main" w:initials="DM" w:author="Darwin Johan, Cristancho Mican" w:date="2026-06-22T10:41:24" w:id="898975822">
    <w:p xmlns:w14="http://schemas.microsoft.com/office/word/2010/wordml" xmlns:w="http://schemas.openxmlformats.org/wordprocessingml/2006/main" w:rsidR="03AF8405" w:rsidRDefault="1CD5FEFE" w14:paraId="4A49FC66" w14:textId="01A663C6">
      <w:pPr>
        <w:pStyle w:val="CommentText"/>
      </w:pPr>
      <w:r>
        <w:rPr>
          <w:rStyle w:val="CommentReference"/>
        </w:rPr>
        <w:annotationRef/>
      </w:r>
      <w:r w:rsidRPr="058177E2" w:rsidR="1F459628">
        <w:t>Se repite este tiutlo</w:t>
      </w:r>
    </w:p>
  </w:comment>
  <w:comment xmlns:w="http://schemas.openxmlformats.org/wordprocessingml/2006/main" w:initials="DM" w:author="Darwin Johan, Cristancho Mican" w:date="2026-06-22T11:11:27" w:id="104834615">
    <w:p xmlns:w14="http://schemas.microsoft.com/office/word/2010/wordml" xmlns:w="http://schemas.openxmlformats.org/wordprocessingml/2006/main" w:rsidR="5EE65669" w:rsidRDefault="76E06CD4" w14:paraId="215F60EE" w14:textId="11063732">
      <w:pPr>
        <w:pStyle w:val="CommentText"/>
      </w:pPr>
      <w:r>
        <w:rPr>
          <w:rStyle w:val="CommentReference"/>
        </w:rPr>
        <w:annotationRef/>
      </w:r>
      <w:r w:rsidRPr="74EC32F1" w:rsidR="4596E86C">
        <w:t>Esta información no corresponde a los datos del boletín de abril de 2026, actualizar</w:t>
      </w:r>
    </w:p>
  </w:comment>
  <w:comment xmlns:w="http://schemas.openxmlformats.org/wordprocessingml/2006/main" w:initials="DM" w:author="Darwin Johan, Cristancho Mican" w:date="2026-06-22T11:26:38" w:id="718920831">
    <w:p xmlns:w14="http://schemas.microsoft.com/office/word/2010/wordml" xmlns:w="http://schemas.openxmlformats.org/wordprocessingml/2006/main" w:rsidR="63FA6691" w:rsidRDefault="1860B81D" w14:paraId="3221FA86" w14:textId="7F9D4D28">
      <w:pPr>
        <w:pStyle w:val="CommentText"/>
      </w:pPr>
      <w:r>
        <w:rPr>
          <w:rStyle w:val="CommentReference"/>
        </w:rPr>
        <w:annotationRef/>
      </w:r>
      <w:r w:rsidRPr="719BE2B3" w:rsidR="7BC81447">
        <w:t>Faltaron las conclusiones "Se debe indicar la conclusión del análisis de los aspectos anteriormente analizados, indicando el impacto de dichas variables en el sector y por ende en el proceso".</w:t>
      </w:r>
    </w:p>
  </w:comment>
  <w:comment xmlns:w="http://schemas.openxmlformats.org/wordprocessingml/2006/main" w:initials="DM" w:author="Darwin Johan, Cristancho Mican" w:date="2026-06-22T11:33:04" w:id="1522621548">
    <w:p xmlns:w14="http://schemas.microsoft.com/office/word/2010/wordml" xmlns:w="http://schemas.openxmlformats.org/wordprocessingml/2006/main" w:rsidR="1368A3AE" w:rsidRDefault="62208418" w14:paraId="1B5FBFB5" w14:textId="0E8E6534">
      <w:pPr>
        <w:pStyle w:val="CommentText"/>
      </w:pPr>
      <w:r>
        <w:rPr>
          <w:rStyle w:val="CommentReference"/>
        </w:rPr>
        <w:annotationRef/>
      </w:r>
      <w:r w:rsidRPr="5E039D47" w:rsidR="33F7BA25">
        <w:t>Esto hace parte de la Balanza Comercial.</w:t>
      </w:r>
    </w:p>
  </w:comment>
  <w:comment xmlns:w="http://schemas.openxmlformats.org/wordprocessingml/2006/main" w:initials="DM" w:author="Darwin Johan, Cristancho Mican" w:date="2026-06-22T11:37:33" w:id="946119495">
    <w:p xmlns:w14="http://schemas.microsoft.com/office/word/2010/wordml" xmlns:w="http://schemas.openxmlformats.org/wordprocessingml/2006/main" w:rsidR="48E396DD" w:rsidRDefault="650FA788" w14:paraId="616B6D57" w14:textId="309910AC">
      <w:pPr>
        <w:pStyle w:val="CommentText"/>
      </w:pPr>
      <w:r>
        <w:rPr>
          <w:rStyle w:val="CommentReference"/>
        </w:rPr>
        <w:annotationRef/>
      </w:r>
      <w:r w:rsidRPr="60E51890" w:rsidR="09ACBAEC">
        <w:t>Actualizar la información de este párrafo con la del boletín de mayo de 2026</w:t>
      </w:r>
    </w:p>
  </w:comment>
  <w:comment xmlns:w="http://schemas.openxmlformats.org/wordprocessingml/2006/main" w:initials="DM" w:author="Darwin Johan, Cristancho Mican" w:date="2026-06-22T11:50:56" w:id="785099919">
    <w:p xmlns:w14="http://schemas.microsoft.com/office/word/2010/wordml" xmlns:w="http://schemas.openxmlformats.org/wordprocessingml/2006/main" w:rsidR="3365B44A" w:rsidRDefault="35F21459" w14:paraId="2060AD6C" w14:textId="3E9316AC">
      <w:pPr>
        <w:pStyle w:val="CommentText"/>
      </w:pPr>
      <w:r>
        <w:rPr>
          <w:rStyle w:val="CommentReference"/>
        </w:rPr>
        <w:annotationRef/>
      </w:r>
      <w:r w:rsidRPr="6B59788C" w:rsidR="6DA55B0D">
        <w:t>Se deben incluir fuentes oficiales de información e indicar el decreto del ultimo salario publicado. https://suameca.banrep.gov.co/estadisticas-economicas/informacionSerie/500023/mercado_laboral_poblacion_salarios</w:t>
      </w:r>
    </w:p>
  </w:comment>
  <w:comment xmlns:w="http://schemas.openxmlformats.org/wordprocessingml/2006/main" w:initials="DM" w:author="Darwin Johan, Cristancho Mican" w:date="2026-06-22T11:54:16" w:id="356458339">
    <w:p xmlns:w14="http://schemas.microsoft.com/office/word/2010/wordml" xmlns:w="http://schemas.openxmlformats.org/wordprocessingml/2006/main" w:rsidR="5DA3EA7A" w:rsidRDefault="581FF7FA" w14:paraId="3A5DD328" w14:textId="36C1CE9F">
      <w:pPr>
        <w:pStyle w:val="CommentText"/>
      </w:pPr>
      <w:r>
        <w:rPr>
          <w:rStyle w:val="CommentReference"/>
        </w:rPr>
        <w:annotationRef/>
      </w:r>
      <w:r w:rsidRPr="1E9DAE2F" w:rsidR="0DA817AF">
        <w:t>Con estos datos lo que se indica es que el peso colombiano tiene una apreciación frente al dolar, revisar y ajustar</w:t>
      </w:r>
    </w:p>
  </w:comment>
  <w:comment xmlns:w="http://schemas.openxmlformats.org/wordprocessingml/2006/main" w:initials="DM" w:author="Darwin Johan, Cristancho Mican" w:date="2026-06-22T11:56:08" w:id="306463940">
    <w:p xmlns:w14="http://schemas.microsoft.com/office/word/2010/wordml" xmlns:w="http://schemas.openxmlformats.org/wordprocessingml/2006/main" w:rsidR="6AC9EE04" w:rsidRDefault="2123D057" w14:paraId="222BAAE8" w14:textId="5CF8DDD6">
      <w:pPr>
        <w:pStyle w:val="CommentText"/>
      </w:pPr>
      <w:r>
        <w:rPr>
          <w:rStyle w:val="CommentReference"/>
        </w:rPr>
        <w:annotationRef/>
      </w:r>
      <w:r w:rsidRPr="7F9E9B61" w:rsidR="73FCF0D5">
        <w:t>no pude ingresar a este link, revisar y ajustar</w:t>
      </w:r>
    </w:p>
  </w:comment>
  <w:comment xmlns:w="http://schemas.openxmlformats.org/wordprocessingml/2006/main" w:initials="DM" w:author="Darwin Johan, Cristancho Mican" w:date="2026-06-22T12:03:06" w:id="1674996121">
    <w:p xmlns:w14="http://schemas.microsoft.com/office/word/2010/wordml" xmlns:w="http://schemas.openxmlformats.org/wordprocessingml/2006/main" w:rsidR="043A2D5D" w:rsidRDefault="69583C5A" w14:paraId="78157BDE" w14:textId="47C7D697">
      <w:pPr>
        <w:pStyle w:val="CommentText"/>
      </w:pPr>
      <w:r>
        <w:rPr>
          <w:rStyle w:val="CommentReference"/>
        </w:rPr>
        <w:annotationRef/>
      </w:r>
      <w:r w:rsidRPr="76354B3C" w:rsidR="5485FD2D">
        <w:t>Validar este link, no me dejo ver la informacion</w:t>
      </w:r>
    </w:p>
  </w:comment>
</w:comments>
</file>

<file path=word/commentsExtended.xml><?xml version="1.0" encoding="utf-8"?>
<w15:commentsEx xmlns:mc="http://schemas.openxmlformats.org/markup-compatibility/2006" xmlns:w15="http://schemas.microsoft.com/office/word/2012/wordml" mc:Ignorable="w15">
  <w15:commentEx w15:done="0" w15:paraId="0DE9B5F8"/>
  <w15:commentEx w15:done="0" w15:paraId="11803303"/>
  <w15:commentEx w15:done="0" w15:paraId="4A49FC66"/>
  <w15:commentEx w15:done="0" w15:paraId="215F60EE"/>
  <w15:commentEx w15:done="0" w15:paraId="3221FA86"/>
  <w15:commentEx w15:done="0" w15:paraId="1B5FBFB5"/>
  <w15:commentEx w15:done="0" w15:paraId="616B6D57"/>
  <w15:commentEx w15:done="0" w15:paraId="2060AD6C"/>
  <w15:commentEx w15:done="0" w15:paraId="3A5DD328"/>
  <w15:commentEx w15:done="0" w15:paraId="222BAAE8"/>
  <w15:commentEx w15:done="0" w15:paraId="78157BD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6574789" w16cex:dateUtc="2026-06-17T20:43:53.467Z"/>
  <w16cex:commentExtensible w16cex:durableId="4BB3D5A9" w16cex:dateUtc="2026-06-22T15:16:09.321Z"/>
  <w16cex:commentExtensible w16cex:durableId="403BF8B9" w16cex:dateUtc="2026-06-22T15:41:24.254Z"/>
  <w16cex:commentExtensible w16cex:durableId="7A425382" w16cex:dateUtc="2026-06-22T16:11:27.564Z"/>
  <w16cex:commentExtensible w16cex:durableId="07D7851B" w16cex:dateUtc="2026-06-22T16:26:38.844Z"/>
  <w16cex:commentExtensible w16cex:durableId="159C94FA" w16cex:dateUtc="2026-06-22T16:33:04.858Z"/>
  <w16cex:commentExtensible w16cex:durableId="3C5C8644" w16cex:dateUtc="2026-06-22T16:37:33.105Z"/>
  <w16cex:commentExtensible w16cex:durableId="5C49D713" w16cex:dateUtc="2026-06-22T16:50:56.432Z"/>
  <w16cex:commentExtensible w16cex:durableId="6EA28FA8" w16cex:dateUtc="2026-06-22T16:54:16.526Z"/>
  <w16cex:commentExtensible w16cex:durableId="64AA75D6" w16cex:dateUtc="2026-06-22T16:56:08.05Z"/>
  <w16cex:commentExtensible w16cex:durableId="3D067DB1" w16cex:dateUtc="2026-06-22T17:03:06.212Z"/>
</w16cex:commentsExtensible>
</file>

<file path=word/commentsIds.xml><?xml version="1.0" encoding="utf-8"?>
<w16cid:commentsIds xmlns:mc="http://schemas.openxmlformats.org/markup-compatibility/2006" xmlns:w16cid="http://schemas.microsoft.com/office/word/2016/wordml/cid" mc:Ignorable="w16cid">
  <w16cid:commentId w16cid:paraId="0DE9B5F8" w16cid:durableId="06574789"/>
  <w16cid:commentId w16cid:paraId="11803303" w16cid:durableId="4BB3D5A9"/>
  <w16cid:commentId w16cid:paraId="4A49FC66" w16cid:durableId="403BF8B9"/>
  <w16cid:commentId w16cid:paraId="215F60EE" w16cid:durableId="7A425382"/>
  <w16cid:commentId w16cid:paraId="3221FA86" w16cid:durableId="07D7851B"/>
  <w16cid:commentId w16cid:paraId="1B5FBFB5" w16cid:durableId="159C94FA"/>
  <w16cid:commentId w16cid:paraId="616B6D57" w16cid:durableId="3C5C8644"/>
  <w16cid:commentId w16cid:paraId="2060AD6C" w16cid:durableId="5C49D713"/>
  <w16cid:commentId w16cid:paraId="3A5DD328" w16cid:durableId="6EA28FA8"/>
  <w16cid:commentId w16cid:paraId="222BAAE8" w16cid:durableId="64AA75D6"/>
  <w16cid:commentId w16cid:paraId="78157BDE" w16cid:durableId="3D067DB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3FF5" w:rsidP="00DE6F57" w:rsidRDefault="00983FF5" w14:paraId="310E86E9" w14:textId="77777777">
      <w:r>
        <w:separator/>
      </w:r>
    </w:p>
  </w:endnote>
  <w:endnote w:type="continuationSeparator" w:id="0">
    <w:p w:rsidR="00983FF5" w:rsidP="00DE6F57" w:rsidRDefault="00983FF5" w14:paraId="45C7E02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000000" w:themeColor="text1"/>
      </w:rPr>
      <w:id w:val="674123767"/>
      <w:docPartObj>
        <w:docPartGallery w:val="Page Numbers (Bottom of Page)"/>
        <w:docPartUnique/>
      </w:docPartObj>
    </w:sdtPr>
    <w:sdtEndPr>
      <w:rPr>
        <w:color w:val="000000" w:themeColor="text1" w:themeTint="FF" w:themeShade="FF"/>
      </w:rPr>
    </w:sdtEndPr>
    <w:sdtContent>
      <w:p w:rsidRPr="00D86FE0" w:rsidR="00E052F0" w:rsidP="00A952A2" w:rsidRDefault="00E052F0" w14:paraId="7E257FA6" w14:textId="28F55D01">
        <w:pPr>
          <w:pStyle w:val="Piedepgina"/>
          <w:jc w:val="right"/>
          <w:rPr>
            <w:color w:val="000000" w:themeColor="text1"/>
          </w:rPr>
        </w:pPr>
        <w:r w:rsidRPr="00D86FE0">
          <w:rPr>
            <w:rFonts w:ascii="Arial" w:hAnsi="Arial" w:cs="Arial"/>
            <w:color w:val="000000" w:themeColor="text1"/>
            <w:sz w:val="18"/>
            <w:szCs w:val="18"/>
            <w:shd w:val="clear" w:color="auto" w:fill="E6E6E6"/>
          </w:rPr>
          <w:fldChar w:fldCharType="begin"/>
        </w:r>
        <w:r w:rsidRPr="00D86FE0">
          <w:rPr>
            <w:rFonts w:ascii="Arial" w:hAnsi="Arial" w:cs="Arial"/>
            <w:color w:val="000000" w:themeColor="text1"/>
            <w:sz w:val="18"/>
            <w:szCs w:val="18"/>
          </w:rPr>
          <w:instrText xml:space="preserve"> PAGE   \* MERGEFORMAT </w:instrText>
        </w:r>
        <w:r w:rsidRPr="00D86FE0">
          <w:rPr>
            <w:rFonts w:ascii="Arial" w:hAnsi="Arial" w:cs="Arial"/>
            <w:color w:val="000000" w:themeColor="text1"/>
            <w:sz w:val="18"/>
            <w:szCs w:val="18"/>
            <w:shd w:val="clear" w:color="auto" w:fill="E6E6E6"/>
          </w:rPr>
          <w:fldChar w:fldCharType="separate"/>
        </w:r>
        <w:r w:rsidR="00FC46C5">
          <w:rPr>
            <w:rFonts w:ascii="Arial" w:hAnsi="Arial" w:cs="Arial"/>
            <w:noProof/>
            <w:color w:val="000000" w:themeColor="text1"/>
            <w:sz w:val="18"/>
            <w:szCs w:val="18"/>
          </w:rPr>
          <w:t>18</w:t>
        </w:r>
        <w:r w:rsidRPr="00D86FE0">
          <w:rPr>
            <w:rFonts w:ascii="Arial" w:hAnsi="Arial" w:cs="Arial"/>
            <w:color w:val="000000" w:themeColor="text1"/>
            <w:sz w:val="18"/>
            <w:szCs w:val="18"/>
            <w:shd w:val="clear" w:color="auto" w:fill="E6E6E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3FF5" w:rsidP="00DE6F57" w:rsidRDefault="00983FF5" w14:paraId="5AB3AA79" w14:textId="77777777">
      <w:r>
        <w:separator/>
      </w:r>
    </w:p>
  </w:footnote>
  <w:footnote w:type="continuationSeparator" w:id="0">
    <w:p w:rsidR="00983FF5" w:rsidP="00DE6F57" w:rsidRDefault="00983FF5" w14:paraId="42605457" w14:textId="77777777">
      <w:r>
        <w:continuationSeparator/>
      </w:r>
    </w:p>
  </w:footnote>
  <w:footnote w:id="1">
    <w:p w:rsidR="00E052F0" w:rsidP="001D12AA" w:rsidRDefault="00E052F0" w14:paraId="2C7E0F29" w14:textId="4D4BE402">
      <w:pPr>
        <w:autoSpaceDE w:val="0"/>
        <w:autoSpaceDN w:val="0"/>
        <w:adjustRightInd w:val="0"/>
        <w:jc w:val="both"/>
        <w:rPr>
          <w:rFonts w:ascii="Arial" w:hAnsi="Arial" w:cs="Arial"/>
          <w:sz w:val="21"/>
          <w:szCs w:val="21"/>
          <w:lang w:val="es-CO" w:eastAsia="es-CO"/>
        </w:rPr>
      </w:pPr>
      <w:r w:rsidRPr="009446A0">
        <w:rPr>
          <w:rStyle w:val="Refdenotaalpie"/>
          <w:sz w:val="16"/>
          <w:szCs w:val="16"/>
        </w:rPr>
        <w:footnoteRef/>
      </w:r>
      <w:r w:rsidRPr="009446A0">
        <w:rPr>
          <w:rFonts w:ascii="Arial" w:hAnsi="Arial" w:cs="Arial"/>
          <w:sz w:val="16"/>
          <w:szCs w:val="16"/>
          <w:lang w:eastAsia="es-CO"/>
        </w:rPr>
        <w:t>DANE,</w:t>
      </w:r>
      <w:r w:rsidRPr="009446A0">
        <w:rPr>
          <w:rFonts w:ascii="Arial" w:hAnsi="Arial" w:cs="Arial"/>
          <w:sz w:val="16"/>
          <w:szCs w:val="16"/>
        </w:rPr>
        <w:t xml:space="preserve"> disponible en internet: </w:t>
      </w:r>
      <w:hyperlink w:history="1" r:id="rId1">
        <w:r w:rsidRPr="009446A0">
          <w:rPr>
            <w:rStyle w:val="Hipervnculo"/>
            <w:sz w:val="16"/>
            <w:szCs w:val="16"/>
          </w:rPr>
          <w:t>http://www.dane.gov.co/files/nomenclaturas/CIIU_Rev4ac.pdf</w:t>
        </w:r>
      </w:hyperlink>
      <w:r w:rsidRPr="009446A0">
        <w:rPr>
          <w:rStyle w:val="Hipervnculo"/>
          <w:sz w:val="16"/>
          <w:szCs w:val="16"/>
        </w:rPr>
        <w:t xml:space="preserve">. </w:t>
      </w:r>
      <w:r w:rsidRPr="009446A0">
        <w:rPr>
          <w:rFonts w:ascii="Arial" w:hAnsi="Arial" w:cs="Arial"/>
          <w:sz w:val="16"/>
          <w:szCs w:val="16"/>
        </w:rPr>
        <w:t xml:space="preserve">Fecha de consulta: </w:t>
      </w:r>
      <w:r w:rsidR="00280689">
        <w:rPr>
          <w:rFonts w:ascii="Arial" w:hAnsi="Arial" w:cs="Arial"/>
          <w:sz w:val="16"/>
          <w:szCs w:val="16"/>
        </w:rPr>
        <w:t>10</w:t>
      </w:r>
      <w:r w:rsidRPr="000B4B0B">
        <w:rPr>
          <w:rFonts w:ascii="Arial" w:hAnsi="Arial" w:cs="Arial"/>
          <w:sz w:val="16"/>
          <w:szCs w:val="16"/>
        </w:rPr>
        <w:t xml:space="preserve"> de </w:t>
      </w:r>
      <w:r w:rsidR="00280689">
        <w:rPr>
          <w:rFonts w:ascii="Arial" w:hAnsi="Arial" w:cs="Arial"/>
          <w:sz w:val="16"/>
          <w:szCs w:val="16"/>
        </w:rPr>
        <w:t>junio</w:t>
      </w:r>
      <w:r>
        <w:rPr>
          <w:rFonts w:ascii="Arial" w:hAnsi="Arial" w:cs="Arial"/>
          <w:sz w:val="16"/>
          <w:szCs w:val="16"/>
        </w:rPr>
        <w:t xml:space="preserve"> de 2026</w:t>
      </w:r>
      <w:r>
        <w:rPr>
          <w:rFonts w:ascii="Arial" w:hAnsi="Arial" w:cs="Arial"/>
          <w:sz w:val="16"/>
          <w:szCs w:val="16"/>
          <w:lang w:eastAsia="es-CO"/>
        </w:rPr>
        <w:t>.</w:t>
      </w:r>
    </w:p>
    <w:p w:rsidR="00E052F0" w:rsidP="001D12AA" w:rsidRDefault="00E052F0" w14:paraId="7B186897" w14:textId="77777777">
      <w:pPr>
        <w:pStyle w:val="Textonotapie"/>
      </w:pPr>
    </w:p>
    <w:p w:rsidRPr="00934B3E" w:rsidR="00E052F0" w:rsidP="001D12AA" w:rsidRDefault="00E052F0" w14:paraId="72715ABE" w14:textId="77777777">
      <w:pPr>
        <w:pStyle w:val="Sinespaciado"/>
        <w:jc w:val="both"/>
        <w:rPr>
          <w:rFonts w:ascii="Arial" w:hAnsi="Arial" w:cs="Arial"/>
          <w:sz w:val="16"/>
          <w:szCs w:val="16"/>
        </w:rPr>
      </w:pPr>
    </w:p>
  </w:footnote>
  <w:footnote w:id="2">
    <w:p w:rsidRPr="000D552F" w:rsidR="00E052F0" w:rsidP="008A67C1" w:rsidRDefault="00E052F0" w14:paraId="4EE678FB" w14:textId="5F469826">
      <w:pPr>
        <w:pStyle w:val="Textonotapie"/>
        <w:rPr>
          <w:sz w:val="16"/>
          <w:szCs w:val="16"/>
          <w:lang w:val="es-CO"/>
        </w:rPr>
      </w:pPr>
      <w:r w:rsidRPr="000D552F">
        <w:rPr>
          <w:sz w:val="16"/>
          <w:szCs w:val="16"/>
          <w:vertAlign w:val="superscript"/>
        </w:rPr>
        <w:footnoteRef/>
      </w:r>
      <w:r w:rsidRPr="000D552F">
        <w:rPr>
          <w:rFonts w:eastAsia="Arial"/>
          <w:sz w:val="16"/>
          <w:szCs w:val="16"/>
          <w:lang w:val="en-US"/>
        </w:rPr>
        <w:t xml:space="preserve"> Krugman, P. R., &amp; Wells, R. (2006). </w:t>
      </w:r>
      <w:r w:rsidRPr="000D552F">
        <w:rPr>
          <w:rFonts w:eastAsia="Arial"/>
          <w:sz w:val="16"/>
          <w:szCs w:val="16"/>
        </w:rPr>
        <w:t xml:space="preserve">Introducción a la economía: microeconomía. Reverté., Disponible en: </w:t>
      </w:r>
      <w:hyperlink w:anchor="v=onepage&amp;q&amp;f=false" r:id="rId2">
        <w:r w:rsidRPr="000D552F">
          <w:rPr>
            <w:rFonts w:eastAsia="Arial"/>
            <w:color w:val="0000FF"/>
            <w:sz w:val="16"/>
            <w:szCs w:val="16"/>
            <w:u w:val="single"/>
          </w:rPr>
          <w:t>https://books.google.com.co/books?id=ld8I68bW3eoC&amp;printsec=frontcover&amp;hl=es&amp;source=gbs_ge_summary_r&amp;cad=0#v=onepage&amp;q&amp;f=false</w:t>
        </w:r>
      </w:hyperlink>
      <w:r w:rsidRPr="000D552F">
        <w:rPr>
          <w:rFonts w:eastAsia="Arial"/>
          <w:sz w:val="16"/>
          <w:szCs w:val="16"/>
          <w:lang w:val="es-CO"/>
        </w:rPr>
        <w:t xml:space="preserve"> </w:t>
      </w:r>
      <w:r w:rsidRPr="000D552F">
        <w:rPr>
          <w:sz w:val="16"/>
          <w:szCs w:val="16"/>
          <w:lang w:val="es-CO"/>
        </w:rPr>
        <w:t xml:space="preserve">Fecha de consulta: </w:t>
      </w:r>
      <w:r>
        <w:rPr>
          <w:sz w:val="16"/>
          <w:szCs w:val="16"/>
          <w:lang w:val="es-CO"/>
        </w:rPr>
        <w:t>10</w:t>
      </w:r>
      <w:r w:rsidRPr="000D552F">
        <w:rPr>
          <w:sz w:val="16"/>
          <w:szCs w:val="16"/>
          <w:lang w:val="es-CO"/>
        </w:rPr>
        <w:t xml:space="preserve"> de </w:t>
      </w:r>
      <w:r>
        <w:rPr>
          <w:sz w:val="16"/>
          <w:szCs w:val="16"/>
          <w:lang w:val="es-CO"/>
        </w:rPr>
        <w:t xml:space="preserve">febrero </w:t>
      </w:r>
      <w:r w:rsidRPr="000D552F">
        <w:rPr>
          <w:sz w:val="16"/>
          <w:szCs w:val="16"/>
          <w:lang w:val="es-CO"/>
        </w:rPr>
        <w:t>de 202</w:t>
      </w:r>
      <w:r>
        <w:rPr>
          <w:sz w:val="16"/>
          <w:szCs w:val="16"/>
          <w:lang w:val="es-CO"/>
        </w:rPr>
        <w:t>5</w:t>
      </w:r>
      <w:r w:rsidRPr="000D552F">
        <w:rPr>
          <w:sz w:val="16"/>
          <w:szCs w:val="16"/>
          <w:lang w:val="es-CO"/>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tbl>
    <w:tblPr>
      <w:tblW w:w="10368" w:type="dxa"/>
      <w:jc w:val="center"/>
      <w:tblLayout w:type="fixed"/>
      <w:tblLook w:val="04A0" w:firstRow="1" w:lastRow="0" w:firstColumn="1" w:lastColumn="0" w:noHBand="0" w:noVBand="1"/>
    </w:tblPr>
    <w:tblGrid>
      <w:gridCol w:w="1696"/>
      <w:gridCol w:w="1418"/>
      <w:gridCol w:w="2126"/>
      <w:gridCol w:w="1701"/>
      <w:gridCol w:w="1701"/>
      <w:gridCol w:w="1726"/>
    </w:tblGrid>
    <w:tr w:rsidR="00E052F0" w:rsidTr="00785DDB" w14:paraId="7CF283B5" w14:textId="77777777">
      <w:trPr>
        <w:trHeight w:val="698"/>
        <w:jc w:val="center"/>
      </w:trPr>
      <w:tc>
        <w:tcPr>
          <w:tcW w:w="1696" w:type="dxa"/>
          <w:vMerge w:val="restart"/>
          <w:tcBorders>
            <w:top w:val="single" w:color="auto" w:sz="4" w:space="0"/>
            <w:left w:val="single" w:color="auto" w:sz="4" w:space="0"/>
            <w:bottom w:val="single" w:color="auto" w:sz="4" w:space="0"/>
            <w:right w:val="single" w:color="auto" w:sz="4" w:space="0"/>
          </w:tcBorders>
          <w:vAlign w:val="center"/>
          <w:hideMark/>
        </w:tcPr>
        <w:p w:rsidR="00E052F0" w:rsidP="005B2062" w:rsidRDefault="00E052F0" w14:paraId="742F1866" w14:textId="77777777">
          <w:pPr>
            <w:rPr>
              <w:b/>
              <w:bCs/>
            </w:rPr>
          </w:pPr>
          <w:r>
            <w:rPr>
              <w:noProof/>
              <w:lang w:val="es-CO" w:eastAsia="es-CO"/>
            </w:rPr>
            <w:drawing>
              <wp:anchor distT="0" distB="0" distL="114300" distR="114300" simplePos="0" relativeHeight="251659264" behindDoc="0" locked="0" layoutInCell="1" allowOverlap="1" wp14:anchorId="54D1CE36" wp14:editId="0FE0DF10">
                <wp:simplePos x="0" y="0"/>
                <wp:positionH relativeFrom="column">
                  <wp:posOffset>43180</wp:posOffset>
                </wp:positionH>
                <wp:positionV relativeFrom="paragraph">
                  <wp:posOffset>-25400</wp:posOffset>
                </wp:positionV>
                <wp:extent cx="880110" cy="83693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0110" cy="8369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46" w:type="dxa"/>
          <w:gridSpan w:val="4"/>
          <w:tcBorders>
            <w:top w:val="single" w:color="auto" w:sz="4" w:space="0"/>
            <w:left w:val="single" w:color="auto" w:sz="4" w:space="0"/>
            <w:bottom w:val="single" w:color="auto" w:sz="4" w:space="0"/>
            <w:right w:val="single" w:color="auto" w:sz="4" w:space="0"/>
          </w:tcBorders>
          <w:vAlign w:val="center"/>
          <w:hideMark/>
        </w:tcPr>
        <w:p w:rsidRPr="00BE6C5E" w:rsidR="00E052F0" w:rsidP="005B2062" w:rsidRDefault="00E052F0" w14:paraId="4DC7E4EF" w14:textId="77777777">
          <w:pPr>
            <w:pStyle w:val="Encabezado"/>
            <w:jc w:val="center"/>
            <w:rPr>
              <w:rFonts w:ascii="Arial" w:hAnsi="Arial" w:cs="Arial"/>
              <w:sz w:val="18"/>
              <w:szCs w:val="18"/>
              <w:lang w:val="es-MX"/>
            </w:rPr>
          </w:pPr>
          <w:r w:rsidRPr="00BE6C5E">
            <w:rPr>
              <w:rFonts w:ascii="Arial" w:hAnsi="Arial" w:cs="Arial"/>
              <w:sz w:val="18"/>
              <w:szCs w:val="18"/>
              <w:lang w:val="es-MX"/>
            </w:rPr>
            <w:t>GESTIÓN CONTRACTUAL</w:t>
          </w:r>
        </w:p>
        <w:p w:rsidRPr="00BE6C5E" w:rsidR="00E052F0" w:rsidP="005B2062" w:rsidRDefault="00E052F0" w14:paraId="08A6839D" w14:textId="77777777">
          <w:pPr>
            <w:pStyle w:val="Encabezado"/>
            <w:jc w:val="center"/>
            <w:rPr>
              <w:rFonts w:ascii="Arial" w:hAnsi="Arial" w:cs="Arial"/>
              <w:sz w:val="18"/>
              <w:szCs w:val="18"/>
              <w:lang w:val="es-MX"/>
            </w:rPr>
          </w:pPr>
          <w:r w:rsidRPr="00BE6C5E">
            <w:rPr>
              <w:rFonts w:ascii="Arial" w:hAnsi="Arial" w:cs="Arial"/>
              <w:sz w:val="18"/>
              <w:szCs w:val="18"/>
              <w:lang w:val="es-MX"/>
            </w:rPr>
            <w:t>SUBDIRECCIÓN DE CONTRATACIÓN</w:t>
          </w:r>
        </w:p>
        <w:p w:rsidRPr="00BE6C5E" w:rsidR="00E052F0" w:rsidP="005B2062" w:rsidRDefault="00E052F0" w14:paraId="7713C8E4" w14:textId="77777777">
          <w:pPr>
            <w:pStyle w:val="Sinespaciado"/>
            <w:jc w:val="center"/>
            <w:rPr>
              <w:rFonts w:ascii="Arial" w:hAnsi="Arial" w:cs="Arial"/>
              <w:sz w:val="18"/>
              <w:szCs w:val="18"/>
            </w:rPr>
          </w:pPr>
          <w:r w:rsidRPr="00BE6C5E">
            <w:rPr>
              <w:rFonts w:ascii="Arial" w:hAnsi="Arial" w:cs="Arial"/>
              <w:sz w:val="18"/>
              <w:szCs w:val="18"/>
            </w:rPr>
            <w:t>SISTEMA DE GESTIÓN</w:t>
          </w:r>
        </w:p>
        <w:p w:rsidRPr="00BE6C5E" w:rsidR="00E052F0" w:rsidP="005B2062" w:rsidRDefault="00E052F0" w14:paraId="4D0ECF22" w14:textId="77777777">
          <w:pPr>
            <w:pStyle w:val="Sinespaciado"/>
            <w:jc w:val="center"/>
            <w:rPr>
              <w:rFonts w:ascii="Arial" w:hAnsi="Arial" w:cs="Arial"/>
              <w:sz w:val="18"/>
              <w:szCs w:val="18"/>
            </w:rPr>
          </w:pPr>
          <w:r w:rsidRPr="00BE6C5E">
            <w:rPr>
              <w:rFonts w:ascii="Arial" w:hAnsi="Arial" w:cs="Arial"/>
              <w:sz w:val="18"/>
              <w:szCs w:val="18"/>
            </w:rPr>
            <w:t>CONTROL DOCUMENTAL</w:t>
          </w:r>
        </w:p>
      </w:tc>
      <w:tc>
        <w:tcPr>
          <w:tcW w:w="1726" w:type="dxa"/>
          <w:vMerge w:val="restart"/>
          <w:tcBorders>
            <w:top w:val="single" w:color="auto" w:sz="4" w:space="0"/>
            <w:left w:val="single" w:color="auto" w:sz="4" w:space="0"/>
            <w:bottom w:val="single" w:color="auto" w:sz="4" w:space="0"/>
            <w:right w:val="single" w:color="auto" w:sz="4" w:space="0"/>
          </w:tcBorders>
          <w:vAlign w:val="center"/>
          <w:hideMark/>
        </w:tcPr>
        <w:p w:rsidR="00E052F0" w:rsidP="005B2062" w:rsidRDefault="00E052F0" w14:paraId="4C2D3261" w14:textId="77777777">
          <w:pPr>
            <w:spacing w:after="120"/>
            <w:jc w:val="center"/>
            <w:rPr>
              <w:b/>
              <w:bCs/>
            </w:rPr>
          </w:pPr>
          <w:r>
            <w:rPr>
              <w:b/>
              <w:bCs/>
              <w:noProof/>
              <w:lang w:val="es-CO" w:eastAsia="es-CO"/>
            </w:rPr>
            <w:drawing>
              <wp:anchor distT="0" distB="0" distL="114300" distR="114300" simplePos="0" relativeHeight="251660288" behindDoc="1" locked="0" layoutInCell="1" allowOverlap="1" wp14:anchorId="40DA1C70" wp14:editId="0A81D44D">
                <wp:simplePos x="0" y="0"/>
                <wp:positionH relativeFrom="column">
                  <wp:posOffset>8890</wp:posOffset>
                </wp:positionH>
                <wp:positionV relativeFrom="paragraph">
                  <wp:posOffset>-791210</wp:posOffset>
                </wp:positionV>
                <wp:extent cx="898525" cy="845820"/>
                <wp:effectExtent l="0" t="0" r="0" b="0"/>
                <wp:wrapTight wrapText="bothSides">
                  <wp:wrapPolygon edited="0">
                    <wp:start x="0" y="0"/>
                    <wp:lineTo x="0" y="20919"/>
                    <wp:lineTo x="21066" y="20919"/>
                    <wp:lineTo x="21066"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98525"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052F0" w:rsidTr="00785DDB" w14:paraId="775CA8A9" w14:textId="77777777">
      <w:trPr>
        <w:trHeight w:val="420"/>
        <w:jc w:val="center"/>
      </w:trPr>
      <w:tc>
        <w:tcPr>
          <w:tcW w:w="1696" w:type="dxa"/>
          <w:vMerge/>
          <w:tcBorders>
            <w:top w:val="single" w:color="auto" w:sz="4" w:space="0"/>
            <w:left w:val="single" w:color="auto" w:sz="4" w:space="0"/>
            <w:bottom w:val="single" w:color="auto" w:sz="4" w:space="0"/>
            <w:right w:val="single" w:color="auto" w:sz="4" w:space="0"/>
          </w:tcBorders>
          <w:vAlign w:val="center"/>
        </w:tcPr>
        <w:p w:rsidR="00E052F0" w:rsidP="005B2062" w:rsidRDefault="00E052F0" w14:paraId="7EB3BA1A" w14:textId="77777777">
          <w:pPr>
            <w:rPr>
              <w:noProof/>
            </w:rPr>
          </w:pPr>
        </w:p>
      </w:tc>
      <w:tc>
        <w:tcPr>
          <w:tcW w:w="6946" w:type="dxa"/>
          <w:gridSpan w:val="4"/>
          <w:tcBorders>
            <w:top w:val="single" w:color="auto" w:sz="4" w:space="0"/>
            <w:left w:val="single" w:color="auto" w:sz="4" w:space="0"/>
            <w:bottom w:val="single" w:color="auto" w:sz="4" w:space="0"/>
            <w:right w:val="single" w:color="auto" w:sz="4" w:space="0"/>
          </w:tcBorders>
          <w:vAlign w:val="center"/>
        </w:tcPr>
        <w:p w:rsidRPr="00BE6C5E" w:rsidR="00E052F0" w:rsidP="005B2062" w:rsidRDefault="00E052F0" w14:paraId="4FF76151" w14:textId="77777777">
          <w:pPr>
            <w:pStyle w:val="Sinespaciado"/>
            <w:jc w:val="center"/>
            <w:rPr>
              <w:rFonts w:ascii="Arial" w:hAnsi="Arial" w:cs="Arial"/>
              <w:sz w:val="18"/>
              <w:szCs w:val="18"/>
            </w:rPr>
          </w:pPr>
          <w:r w:rsidRPr="00BE6C5E">
            <w:rPr>
              <w:rFonts w:ascii="Arial" w:hAnsi="Arial" w:cs="Arial"/>
              <w:sz w:val="18"/>
              <w:szCs w:val="18"/>
            </w:rPr>
            <w:t>ESTUDIOS PREVIOS PARA PROCESOS DE SELECCIÓN</w:t>
          </w:r>
        </w:p>
      </w:tc>
      <w:tc>
        <w:tcPr>
          <w:tcW w:w="1726" w:type="dxa"/>
          <w:vMerge/>
          <w:tcBorders>
            <w:top w:val="single" w:color="auto" w:sz="4" w:space="0"/>
            <w:left w:val="single" w:color="auto" w:sz="4" w:space="0"/>
            <w:bottom w:val="single" w:color="auto" w:sz="4" w:space="0"/>
            <w:right w:val="single" w:color="auto" w:sz="4" w:space="0"/>
          </w:tcBorders>
          <w:vAlign w:val="center"/>
        </w:tcPr>
        <w:p w:rsidR="00E052F0" w:rsidP="005B2062" w:rsidRDefault="00E052F0" w14:paraId="605D5397" w14:textId="77777777">
          <w:pPr>
            <w:spacing w:after="120"/>
          </w:pPr>
        </w:p>
      </w:tc>
    </w:tr>
    <w:tr w:rsidR="00E052F0" w:rsidTr="00785DDB" w14:paraId="228773C4" w14:textId="77777777">
      <w:trPr>
        <w:trHeight w:val="278"/>
        <w:jc w:val="center"/>
      </w:trPr>
      <w:tc>
        <w:tcPr>
          <w:tcW w:w="1696" w:type="dxa"/>
          <w:vMerge/>
          <w:tcBorders>
            <w:top w:val="single" w:color="auto" w:sz="4" w:space="0"/>
            <w:left w:val="single" w:color="auto" w:sz="4" w:space="0"/>
            <w:bottom w:val="single" w:color="auto" w:sz="4" w:space="0"/>
            <w:right w:val="single" w:color="auto" w:sz="4" w:space="0"/>
          </w:tcBorders>
          <w:vAlign w:val="center"/>
          <w:hideMark/>
        </w:tcPr>
        <w:p w:rsidR="00E052F0" w:rsidP="005B2062" w:rsidRDefault="00E052F0" w14:paraId="38BF4F4F" w14:textId="77777777">
          <w:pPr>
            <w:rPr>
              <w:b/>
              <w:bCs/>
            </w:rPr>
          </w:pPr>
        </w:p>
      </w:tc>
      <w:tc>
        <w:tcPr>
          <w:tcW w:w="1418" w:type="dxa"/>
          <w:tcBorders>
            <w:top w:val="single" w:color="auto" w:sz="4" w:space="0"/>
            <w:left w:val="single" w:color="auto" w:sz="4" w:space="0"/>
            <w:bottom w:val="single" w:color="auto" w:sz="4" w:space="0"/>
            <w:right w:val="single" w:color="auto" w:sz="4" w:space="0"/>
          </w:tcBorders>
          <w:vAlign w:val="center"/>
          <w:hideMark/>
        </w:tcPr>
        <w:p w:rsidRPr="005B3BAD" w:rsidR="00E052F0" w:rsidP="005B2062" w:rsidRDefault="00E052F0" w14:paraId="1E52638A" w14:textId="77777777">
          <w:pPr>
            <w:jc w:val="center"/>
            <w:rPr>
              <w:rFonts w:ascii="Arial" w:hAnsi="Arial" w:cs="Arial"/>
            </w:rPr>
          </w:pPr>
          <w:r w:rsidRPr="005B3BAD">
            <w:rPr>
              <w:rFonts w:ascii="Arial" w:hAnsi="Arial" w:cs="Arial"/>
              <w:sz w:val="18"/>
            </w:rPr>
            <w:t>Código:</w:t>
          </w:r>
        </w:p>
      </w:tc>
      <w:tc>
        <w:tcPr>
          <w:tcW w:w="2126" w:type="dxa"/>
          <w:tcBorders>
            <w:top w:val="single" w:color="auto" w:sz="4" w:space="0"/>
            <w:left w:val="single" w:color="auto" w:sz="4" w:space="0"/>
            <w:bottom w:val="single" w:color="auto" w:sz="4" w:space="0"/>
            <w:right w:val="single" w:color="auto" w:sz="4" w:space="0"/>
          </w:tcBorders>
          <w:vAlign w:val="center"/>
          <w:hideMark/>
        </w:tcPr>
        <w:p w:rsidRPr="005B3BAD" w:rsidR="00E052F0" w:rsidP="005B2062" w:rsidRDefault="00E052F0" w14:paraId="59C176CE" w14:textId="77777777">
          <w:pPr>
            <w:jc w:val="center"/>
            <w:rPr>
              <w:rFonts w:ascii="Arial" w:hAnsi="Arial" w:cs="Arial"/>
            </w:rPr>
          </w:pPr>
          <w:r>
            <w:rPr>
              <w:rFonts w:ascii="Arial" w:hAnsi="Arial" w:cs="Arial"/>
              <w:sz w:val="18"/>
              <w:szCs w:val="18"/>
              <w:lang w:val="es-CO"/>
            </w:rPr>
            <w:t>SDS-CON-FT-064</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5B3BAD" w:rsidR="00E052F0" w:rsidP="005B2062" w:rsidRDefault="00E052F0" w14:paraId="6DF79639" w14:textId="77777777">
          <w:pPr>
            <w:jc w:val="center"/>
            <w:rPr>
              <w:rFonts w:ascii="Arial" w:hAnsi="Arial" w:cs="Arial"/>
              <w:sz w:val="18"/>
            </w:rPr>
          </w:pPr>
          <w:r w:rsidRPr="005B3BAD">
            <w:rPr>
              <w:rFonts w:ascii="Arial" w:hAnsi="Arial" w:cs="Arial"/>
              <w:sz w:val="18"/>
            </w:rPr>
            <w:t>Versión:</w:t>
          </w:r>
        </w:p>
      </w:tc>
      <w:tc>
        <w:tcPr>
          <w:tcW w:w="1701" w:type="dxa"/>
          <w:tcBorders>
            <w:top w:val="single" w:color="auto" w:sz="4" w:space="0"/>
            <w:left w:val="single" w:color="auto" w:sz="4" w:space="0"/>
            <w:bottom w:val="single" w:color="auto" w:sz="4" w:space="0"/>
            <w:right w:val="single" w:color="auto" w:sz="4" w:space="0"/>
          </w:tcBorders>
          <w:vAlign w:val="center"/>
          <w:hideMark/>
        </w:tcPr>
        <w:p w:rsidRPr="00F10BC4" w:rsidR="00E052F0" w:rsidP="005B2062" w:rsidRDefault="00E052F0" w14:paraId="4E4AFD4B" w14:textId="77777777">
          <w:pPr>
            <w:jc w:val="center"/>
            <w:rPr>
              <w:rFonts w:ascii="Arial" w:hAnsi="Arial" w:cs="Arial"/>
              <w:sz w:val="18"/>
            </w:rPr>
          </w:pPr>
          <w:r>
            <w:rPr>
              <w:rFonts w:ascii="Arial" w:hAnsi="Arial" w:cs="Arial"/>
              <w:sz w:val="18"/>
            </w:rPr>
            <w:t xml:space="preserve"> 7</w:t>
          </w:r>
        </w:p>
      </w:tc>
      <w:tc>
        <w:tcPr>
          <w:tcW w:w="1726" w:type="dxa"/>
          <w:vMerge/>
          <w:tcBorders>
            <w:top w:val="single" w:color="auto" w:sz="4" w:space="0"/>
            <w:left w:val="single" w:color="auto" w:sz="4" w:space="0"/>
            <w:bottom w:val="single" w:color="auto" w:sz="4" w:space="0"/>
            <w:right w:val="single" w:color="auto" w:sz="4" w:space="0"/>
          </w:tcBorders>
          <w:vAlign w:val="center"/>
          <w:hideMark/>
        </w:tcPr>
        <w:p w:rsidR="00E052F0" w:rsidP="005B2062" w:rsidRDefault="00E052F0" w14:paraId="2DE4185D" w14:textId="77777777">
          <w:pPr>
            <w:rPr>
              <w:b/>
              <w:bCs/>
            </w:rPr>
          </w:pPr>
        </w:p>
      </w:tc>
    </w:tr>
    <w:tr w:rsidR="00E052F0" w:rsidTr="00785DDB" w14:paraId="2269EDBA" w14:textId="77777777">
      <w:trPr>
        <w:trHeight w:val="413"/>
        <w:jc w:val="center"/>
      </w:trPr>
      <w:tc>
        <w:tcPr>
          <w:tcW w:w="10368" w:type="dxa"/>
          <w:gridSpan w:val="6"/>
          <w:tcBorders>
            <w:top w:val="single" w:color="auto" w:sz="4" w:space="0"/>
            <w:left w:val="single" w:color="auto" w:sz="4" w:space="0"/>
            <w:bottom w:val="single" w:color="auto" w:sz="4" w:space="0"/>
            <w:right w:val="single" w:color="auto" w:sz="4" w:space="0"/>
          </w:tcBorders>
          <w:vAlign w:val="center"/>
          <w:hideMark/>
        </w:tcPr>
        <w:p w:rsidRPr="00A12A48" w:rsidR="00E052F0" w:rsidP="005B2062" w:rsidRDefault="00E052F0" w14:paraId="4170E0B9" w14:textId="77777777">
          <w:pPr>
            <w:pStyle w:val="Sinespaciado"/>
            <w:rPr>
              <w:rFonts w:ascii="Arial" w:hAnsi="Arial" w:cs="Arial"/>
              <w:bCs/>
              <w:sz w:val="16"/>
              <w:szCs w:val="16"/>
            </w:rPr>
          </w:pPr>
          <w:r w:rsidRPr="00A12A48">
            <w:rPr>
              <w:rFonts w:ascii="Arial" w:hAnsi="Arial" w:cs="Arial"/>
              <w:sz w:val="16"/>
              <w:szCs w:val="16"/>
            </w:rPr>
            <w:t xml:space="preserve">Elaboró: </w:t>
          </w:r>
          <w:r>
            <w:rPr>
              <w:rFonts w:ascii="Arial" w:hAnsi="Arial" w:cs="Arial"/>
              <w:sz w:val="16"/>
              <w:szCs w:val="18"/>
            </w:rPr>
            <w:t xml:space="preserve">Carlos </w:t>
          </w:r>
          <w:proofErr w:type="spellStart"/>
          <w:r>
            <w:rPr>
              <w:rFonts w:ascii="Arial" w:hAnsi="Arial" w:cs="Arial"/>
              <w:sz w:val="16"/>
              <w:szCs w:val="18"/>
            </w:rPr>
            <w:t>Andres</w:t>
          </w:r>
          <w:proofErr w:type="spellEnd"/>
          <w:r>
            <w:rPr>
              <w:rFonts w:ascii="Arial" w:hAnsi="Arial" w:cs="Arial"/>
              <w:sz w:val="16"/>
              <w:szCs w:val="18"/>
            </w:rPr>
            <w:t xml:space="preserve"> Montaña Buitrago/ Revisó: </w:t>
          </w:r>
          <w:proofErr w:type="spellStart"/>
          <w:r>
            <w:rPr>
              <w:rFonts w:ascii="Arial" w:hAnsi="Arial" w:cs="Arial"/>
              <w:sz w:val="16"/>
              <w:szCs w:val="18"/>
            </w:rPr>
            <w:t>Nureidis</w:t>
          </w:r>
          <w:proofErr w:type="spellEnd"/>
          <w:r>
            <w:rPr>
              <w:rFonts w:ascii="Arial" w:hAnsi="Arial" w:cs="Arial"/>
              <w:sz w:val="16"/>
              <w:szCs w:val="18"/>
            </w:rPr>
            <w:t xml:space="preserve"> Torres Vivas/ Aprobó Katty Jhoana Rodríguez Lozano </w:t>
          </w:r>
        </w:p>
      </w:tc>
    </w:tr>
  </w:tbl>
  <w:p w:rsidR="00E052F0" w:rsidRDefault="00E052F0" w14:paraId="27E3D94D"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KpX5WLt1iNzHza" int2:id="tK8pR9Xh">
      <int2:state int2:value="Rejected" int2:type="spell"/>
    </int2:textHash>
    <int2:textHash int2:hashCode="+eyQIUEczUOrIc" int2:id="uZC4tbnb">
      <int2:state int2:value="Rejected" int2:type="AugLoop_Text_Critique"/>
    </int2:textHash>
    <int2:textHash int2:hashCode="yHGrHele98MoV4" int2:id="VnECz0eI">
      <int2:state int2:value="Rejected" int2:type="AugLoop_Text_Critique"/>
    </int2:textHash>
    <int2:textHash int2:hashCode="ONR7SfNjV0EA7K" int2:id="y0K35QUT">
      <int2:state int2:value="Rejected" int2:type="AugLoop_Text_Critique"/>
    </int2:textHash>
    <int2:textHash int2:hashCode="Do82KMDkWPv4i3" int2:id="lbQSAmLB">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34" style="width:20in;height:404.95pt;flip:y;visibility:visible" o:bullet="t" type="#_x0000_t75">
        <v:imagedata cropleft="13131f" croptop="9858f" cropright="40183f" cropbottom="9441f" o:title="" r:id="rId1"/>
      </v:shape>
    </w:pict>
  </w:numPicBullet>
  <w:numPicBullet w:numPicBulletId="1">
    <w:pict>
      <v:shape id="_x0000_i1035" style="width:20in;height:809.85pt;visibility:visible" o:bullet="t" type="#_x0000_t75">
        <v:imagedata cropleft="44383f" croptop="22570f" cropright="2483f" cropbottom="27034f" o:title="" r:id="rId2"/>
      </v:shape>
    </w:pict>
  </w:numPicBullet>
  <w:numPicBullet w:numPicBulletId="2">
    <w:pict>
      <v:shape id="_x0000_i1036" style="width:20in;height:809.85pt;visibility:visible" o:bullet="t" type="#_x0000_t75">
        <v:imagedata cropleft="25926f" croptop="22570f" cropright="16031f" cropbottom="14326f" o:title="" r:id="rId3"/>
      </v:shape>
    </w:pict>
  </w:numPicBullet>
  <w:numPicBullet w:numPicBulletId="3">
    <w:pict>
      <v:shape id="_x0000_i1037" style="width:20in;height:404.95pt;visibility:visible" alt="Interfaz de usuario gráfica, Aplicación, Word&#10;&#10;Descripción generada automáticamente" o:bullet="t" type="#_x0000_t75">
        <v:imagedata cropleft="11546f" croptop="14871f" cropright="43545f" cropbottom="40232f" o:title="Interfaz de usuario gráfica, Aplicación, Word&#10;&#10;Descripción generada automáticamente" r:id="rId4"/>
      </v:shape>
    </w:pict>
  </w:numPicBullet>
  <w:abstractNum w:abstractNumId="0" w15:restartNumberingAfterBreak="0">
    <w:nsid w:val="00987414"/>
    <w:multiLevelType w:val="hybridMultilevel"/>
    <w:tmpl w:val="3B9AE676"/>
    <w:lvl w:ilvl="0" w:tplc="C03A26D4">
      <w:start w:val="1"/>
      <w:numFmt w:val="decimal"/>
      <w:lvlText w:val="%1."/>
      <w:lvlJc w:val="left"/>
      <w:pPr>
        <w:ind w:left="644" w:hanging="360"/>
      </w:pPr>
      <w:rPr>
        <w:rFonts w:hint="default"/>
        <w:b/>
        <w:color w:val="000000"/>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 w15:restartNumberingAfterBreak="0">
    <w:nsid w:val="04850CDF"/>
    <w:multiLevelType w:val="hybridMultilevel"/>
    <w:tmpl w:val="ABBCBA66"/>
    <w:lvl w:ilvl="0" w:tplc="6532BAC4">
      <w:start w:val="1"/>
      <w:numFmt w:val="upperLetter"/>
      <w:pStyle w:val="Ttulo2"/>
      <w:lvlText w:val="%1."/>
      <w:lvlJc w:val="left"/>
      <w:pPr>
        <w:ind w:left="720" w:hanging="360"/>
      </w:pPr>
      <w:rPr>
        <w:rFonts w:hint="default" w:eastAsia="Times New Roman"/>
        <w:b/>
        <w:color w:val="auto"/>
      </w:rPr>
    </w:lvl>
    <w:lvl w:ilvl="1" w:tplc="8D20715E">
      <w:start w:val="1"/>
      <w:numFmt w:val="decimal"/>
      <w:lvlText w:val="%2."/>
      <w:lvlJc w:val="left"/>
      <w:pPr>
        <w:ind w:left="1785" w:hanging="705"/>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7DAFA7"/>
    <w:multiLevelType w:val="hybridMultilevel"/>
    <w:tmpl w:val="2A043348"/>
    <w:lvl w:ilvl="0" w:tplc="A18CF2F8">
      <w:start w:val="1"/>
      <w:numFmt w:val="bullet"/>
      <w:lvlText w:val=""/>
      <w:lvlJc w:val="left"/>
      <w:pPr>
        <w:ind w:left="720" w:hanging="360"/>
      </w:pPr>
      <w:rPr>
        <w:rFonts w:hint="default" w:ascii="Symbol" w:hAnsi="Symbol"/>
      </w:rPr>
    </w:lvl>
    <w:lvl w:ilvl="1" w:tplc="CD76DFDE">
      <w:start w:val="1"/>
      <w:numFmt w:val="bullet"/>
      <w:lvlText w:val="o"/>
      <w:lvlJc w:val="left"/>
      <w:pPr>
        <w:ind w:left="1440" w:hanging="360"/>
      </w:pPr>
      <w:rPr>
        <w:rFonts w:hint="default" w:ascii="Courier New" w:hAnsi="Courier New"/>
      </w:rPr>
    </w:lvl>
    <w:lvl w:ilvl="2" w:tplc="C234EA22">
      <w:start w:val="1"/>
      <w:numFmt w:val="bullet"/>
      <w:lvlText w:val=""/>
      <w:lvlJc w:val="left"/>
      <w:pPr>
        <w:ind w:left="2160" w:hanging="360"/>
      </w:pPr>
      <w:rPr>
        <w:rFonts w:hint="default" w:ascii="Wingdings" w:hAnsi="Wingdings"/>
      </w:rPr>
    </w:lvl>
    <w:lvl w:ilvl="3" w:tplc="A254E10A">
      <w:start w:val="1"/>
      <w:numFmt w:val="bullet"/>
      <w:lvlText w:val=""/>
      <w:lvlJc w:val="left"/>
      <w:pPr>
        <w:ind w:left="2880" w:hanging="360"/>
      </w:pPr>
      <w:rPr>
        <w:rFonts w:hint="default" w:ascii="Symbol" w:hAnsi="Symbol"/>
      </w:rPr>
    </w:lvl>
    <w:lvl w:ilvl="4" w:tplc="E548A7A0">
      <w:start w:val="1"/>
      <w:numFmt w:val="bullet"/>
      <w:lvlText w:val="o"/>
      <w:lvlJc w:val="left"/>
      <w:pPr>
        <w:ind w:left="3600" w:hanging="360"/>
      </w:pPr>
      <w:rPr>
        <w:rFonts w:hint="default" w:ascii="Courier New" w:hAnsi="Courier New"/>
      </w:rPr>
    </w:lvl>
    <w:lvl w:ilvl="5" w:tplc="50C85E7C">
      <w:start w:val="1"/>
      <w:numFmt w:val="bullet"/>
      <w:lvlText w:val=""/>
      <w:lvlJc w:val="left"/>
      <w:pPr>
        <w:ind w:left="4320" w:hanging="360"/>
      </w:pPr>
      <w:rPr>
        <w:rFonts w:hint="default" w:ascii="Wingdings" w:hAnsi="Wingdings"/>
      </w:rPr>
    </w:lvl>
    <w:lvl w:ilvl="6" w:tplc="58869AA4">
      <w:start w:val="1"/>
      <w:numFmt w:val="bullet"/>
      <w:lvlText w:val=""/>
      <w:lvlJc w:val="left"/>
      <w:pPr>
        <w:ind w:left="5040" w:hanging="360"/>
      </w:pPr>
      <w:rPr>
        <w:rFonts w:hint="default" w:ascii="Symbol" w:hAnsi="Symbol"/>
      </w:rPr>
    </w:lvl>
    <w:lvl w:ilvl="7" w:tplc="30020BF6">
      <w:start w:val="1"/>
      <w:numFmt w:val="bullet"/>
      <w:lvlText w:val="o"/>
      <w:lvlJc w:val="left"/>
      <w:pPr>
        <w:ind w:left="5760" w:hanging="360"/>
      </w:pPr>
      <w:rPr>
        <w:rFonts w:hint="default" w:ascii="Courier New" w:hAnsi="Courier New"/>
      </w:rPr>
    </w:lvl>
    <w:lvl w:ilvl="8" w:tplc="5D6EC9A8">
      <w:start w:val="1"/>
      <w:numFmt w:val="bullet"/>
      <w:lvlText w:val=""/>
      <w:lvlJc w:val="left"/>
      <w:pPr>
        <w:ind w:left="6480" w:hanging="360"/>
      </w:pPr>
      <w:rPr>
        <w:rFonts w:hint="default" w:ascii="Wingdings" w:hAnsi="Wingdings"/>
      </w:rPr>
    </w:lvl>
  </w:abstractNum>
  <w:abstractNum w:abstractNumId="3" w15:restartNumberingAfterBreak="0">
    <w:nsid w:val="0F2C31A0"/>
    <w:multiLevelType w:val="hybridMultilevel"/>
    <w:tmpl w:val="F6B4EAC0"/>
    <w:lvl w:ilvl="0" w:tplc="240A000F">
      <w:start w:val="1"/>
      <w:numFmt w:val="decimal"/>
      <w:lvlText w:val="%1."/>
      <w:lvlJc w:val="left"/>
      <w:pPr>
        <w:ind w:left="720" w:hanging="360"/>
      </w:pPr>
      <w:rPr>
        <w:rFonts w:hint="default"/>
        <w:color w:val="000000"/>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4" w15:restartNumberingAfterBreak="0">
    <w:nsid w:val="13B53255"/>
    <w:multiLevelType w:val="hybridMultilevel"/>
    <w:tmpl w:val="B74EABE4"/>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89DB2A2"/>
    <w:multiLevelType w:val="hybridMultilevel"/>
    <w:tmpl w:val="4D02B888"/>
    <w:lvl w:ilvl="0" w:tplc="E9AAABA4">
      <w:start w:val="1"/>
      <w:numFmt w:val="decimal"/>
      <w:lvlText w:val="%1."/>
      <w:lvlJc w:val="left"/>
      <w:pPr>
        <w:ind w:left="720" w:hanging="360"/>
      </w:pPr>
    </w:lvl>
    <w:lvl w:ilvl="1" w:tplc="2BA4A246">
      <w:start w:val="1"/>
      <w:numFmt w:val="lowerLetter"/>
      <w:lvlText w:val="%2."/>
      <w:lvlJc w:val="left"/>
      <w:pPr>
        <w:ind w:left="1440" w:hanging="360"/>
      </w:pPr>
    </w:lvl>
    <w:lvl w:ilvl="2" w:tplc="F2205A00">
      <w:start w:val="1"/>
      <w:numFmt w:val="lowerRoman"/>
      <w:lvlText w:val="%3."/>
      <w:lvlJc w:val="right"/>
      <w:pPr>
        <w:ind w:left="2160" w:hanging="180"/>
      </w:pPr>
    </w:lvl>
    <w:lvl w:ilvl="3" w:tplc="0BE473C8">
      <w:start w:val="1"/>
      <w:numFmt w:val="decimal"/>
      <w:lvlText w:val="%4."/>
      <w:lvlJc w:val="left"/>
      <w:pPr>
        <w:ind w:left="2880" w:hanging="360"/>
      </w:pPr>
    </w:lvl>
    <w:lvl w:ilvl="4" w:tplc="5FC0D330">
      <w:start w:val="1"/>
      <w:numFmt w:val="lowerLetter"/>
      <w:lvlText w:val="%5."/>
      <w:lvlJc w:val="left"/>
      <w:pPr>
        <w:ind w:left="3600" w:hanging="360"/>
      </w:pPr>
    </w:lvl>
    <w:lvl w:ilvl="5" w:tplc="529A2DEC">
      <w:start w:val="1"/>
      <w:numFmt w:val="lowerRoman"/>
      <w:lvlText w:val="%6."/>
      <w:lvlJc w:val="right"/>
      <w:pPr>
        <w:ind w:left="4320" w:hanging="180"/>
      </w:pPr>
    </w:lvl>
    <w:lvl w:ilvl="6" w:tplc="1F6E49B2">
      <w:start w:val="1"/>
      <w:numFmt w:val="decimal"/>
      <w:lvlText w:val="%7."/>
      <w:lvlJc w:val="left"/>
      <w:pPr>
        <w:ind w:left="5040" w:hanging="360"/>
      </w:pPr>
    </w:lvl>
    <w:lvl w:ilvl="7" w:tplc="87788E94">
      <w:start w:val="1"/>
      <w:numFmt w:val="lowerLetter"/>
      <w:lvlText w:val="%8."/>
      <w:lvlJc w:val="left"/>
      <w:pPr>
        <w:ind w:left="5760" w:hanging="360"/>
      </w:pPr>
    </w:lvl>
    <w:lvl w:ilvl="8" w:tplc="2E2CC974">
      <w:start w:val="1"/>
      <w:numFmt w:val="lowerRoman"/>
      <w:lvlText w:val="%9."/>
      <w:lvlJc w:val="right"/>
      <w:pPr>
        <w:ind w:left="6480" w:hanging="180"/>
      </w:pPr>
    </w:lvl>
  </w:abstractNum>
  <w:abstractNum w:abstractNumId="6" w15:restartNumberingAfterBreak="0">
    <w:nsid w:val="19174EB6"/>
    <w:multiLevelType w:val="hybridMultilevel"/>
    <w:tmpl w:val="DF0C7F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193A0D86"/>
    <w:multiLevelType w:val="hybridMultilevel"/>
    <w:tmpl w:val="F9ACF95A"/>
    <w:lvl w:ilvl="0" w:tplc="884C50B0">
      <w:start w:val="1"/>
      <w:numFmt w:val="bullet"/>
      <w:lvlText w:val="-"/>
      <w:lvlJc w:val="left"/>
      <w:pPr>
        <w:ind w:left="720" w:hanging="360"/>
      </w:pPr>
      <w:rPr>
        <w:rFonts w:hint="default"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19F15782"/>
    <w:multiLevelType w:val="hybridMultilevel"/>
    <w:tmpl w:val="A04E6DF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1AC64E5C"/>
    <w:multiLevelType w:val="hybridMultilevel"/>
    <w:tmpl w:val="A8CAD5E2"/>
    <w:lvl w:ilvl="0" w:tplc="240A0001">
      <w:start w:val="1"/>
      <w:numFmt w:val="bullet"/>
      <w:lvlText w:val=""/>
      <w:lvlJc w:val="left"/>
      <w:pPr>
        <w:ind w:left="1005" w:hanging="360"/>
      </w:pPr>
      <w:rPr>
        <w:rFonts w:hint="default" w:ascii="Symbol" w:hAnsi="Symbol"/>
      </w:rPr>
    </w:lvl>
    <w:lvl w:ilvl="1" w:tplc="240A0003" w:tentative="1">
      <w:start w:val="1"/>
      <w:numFmt w:val="bullet"/>
      <w:lvlText w:val="o"/>
      <w:lvlJc w:val="left"/>
      <w:pPr>
        <w:ind w:left="1725" w:hanging="360"/>
      </w:pPr>
      <w:rPr>
        <w:rFonts w:hint="default" w:ascii="Courier New" w:hAnsi="Courier New" w:cs="Courier New"/>
      </w:rPr>
    </w:lvl>
    <w:lvl w:ilvl="2" w:tplc="240A0005" w:tentative="1">
      <w:start w:val="1"/>
      <w:numFmt w:val="bullet"/>
      <w:lvlText w:val=""/>
      <w:lvlJc w:val="left"/>
      <w:pPr>
        <w:ind w:left="2445" w:hanging="360"/>
      </w:pPr>
      <w:rPr>
        <w:rFonts w:hint="default" w:ascii="Wingdings" w:hAnsi="Wingdings"/>
      </w:rPr>
    </w:lvl>
    <w:lvl w:ilvl="3" w:tplc="240A0001" w:tentative="1">
      <w:start w:val="1"/>
      <w:numFmt w:val="bullet"/>
      <w:lvlText w:val=""/>
      <w:lvlJc w:val="left"/>
      <w:pPr>
        <w:ind w:left="3165" w:hanging="360"/>
      </w:pPr>
      <w:rPr>
        <w:rFonts w:hint="default" w:ascii="Symbol" w:hAnsi="Symbol"/>
      </w:rPr>
    </w:lvl>
    <w:lvl w:ilvl="4" w:tplc="240A0003" w:tentative="1">
      <w:start w:val="1"/>
      <w:numFmt w:val="bullet"/>
      <w:lvlText w:val="o"/>
      <w:lvlJc w:val="left"/>
      <w:pPr>
        <w:ind w:left="3885" w:hanging="360"/>
      </w:pPr>
      <w:rPr>
        <w:rFonts w:hint="default" w:ascii="Courier New" w:hAnsi="Courier New" w:cs="Courier New"/>
      </w:rPr>
    </w:lvl>
    <w:lvl w:ilvl="5" w:tplc="240A0005" w:tentative="1">
      <w:start w:val="1"/>
      <w:numFmt w:val="bullet"/>
      <w:lvlText w:val=""/>
      <w:lvlJc w:val="left"/>
      <w:pPr>
        <w:ind w:left="4605" w:hanging="360"/>
      </w:pPr>
      <w:rPr>
        <w:rFonts w:hint="default" w:ascii="Wingdings" w:hAnsi="Wingdings"/>
      </w:rPr>
    </w:lvl>
    <w:lvl w:ilvl="6" w:tplc="240A0001" w:tentative="1">
      <w:start w:val="1"/>
      <w:numFmt w:val="bullet"/>
      <w:lvlText w:val=""/>
      <w:lvlJc w:val="left"/>
      <w:pPr>
        <w:ind w:left="5325" w:hanging="360"/>
      </w:pPr>
      <w:rPr>
        <w:rFonts w:hint="default" w:ascii="Symbol" w:hAnsi="Symbol"/>
      </w:rPr>
    </w:lvl>
    <w:lvl w:ilvl="7" w:tplc="240A0003" w:tentative="1">
      <w:start w:val="1"/>
      <w:numFmt w:val="bullet"/>
      <w:lvlText w:val="o"/>
      <w:lvlJc w:val="left"/>
      <w:pPr>
        <w:ind w:left="6045" w:hanging="360"/>
      </w:pPr>
      <w:rPr>
        <w:rFonts w:hint="default" w:ascii="Courier New" w:hAnsi="Courier New" w:cs="Courier New"/>
      </w:rPr>
    </w:lvl>
    <w:lvl w:ilvl="8" w:tplc="240A0005" w:tentative="1">
      <w:start w:val="1"/>
      <w:numFmt w:val="bullet"/>
      <w:lvlText w:val=""/>
      <w:lvlJc w:val="left"/>
      <w:pPr>
        <w:ind w:left="6765" w:hanging="360"/>
      </w:pPr>
      <w:rPr>
        <w:rFonts w:hint="default" w:ascii="Wingdings" w:hAnsi="Wingdings"/>
      </w:rPr>
    </w:lvl>
  </w:abstractNum>
  <w:abstractNum w:abstractNumId="10" w15:restartNumberingAfterBreak="0">
    <w:nsid w:val="1D701412"/>
    <w:multiLevelType w:val="multilevel"/>
    <w:tmpl w:val="45F41D7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F0F2AD3"/>
    <w:multiLevelType w:val="hybridMultilevel"/>
    <w:tmpl w:val="E34EEB80"/>
    <w:lvl w:ilvl="0" w:tplc="22A20EB0">
      <w:start w:val="1"/>
      <w:numFmt w:val="decimal"/>
      <w:lvlText w:val="%1."/>
      <w:lvlJc w:val="left"/>
      <w:pPr>
        <w:ind w:left="720" w:hanging="360"/>
      </w:pPr>
    </w:lvl>
    <w:lvl w:ilvl="1" w:tplc="DA3E04EE">
      <w:start w:val="1"/>
      <w:numFmt w:val="lowerLetter"/>
      <w:lvlText w:val="%2."/>
      <w:lvlJc w:val="left"/>
      <w:pPr>
        <w:ind w:left="1440" w:hanging="360"/>
      </w:pPr>
    </w:lvl>
    <w:lvl w:ilvl="2" w:tplc="82986E52">
      <w:start w:val="1"/>
      <w:numFmt w:val="lowerRoman"/>
      <w:lvlText w:val="%3."/>
      <w:lvlJc w:val="right"/>
      <w:pPr>
        <w:ind w:left="2160" w:hanging="180"/>
      </w:pPr>
    </w:lvl>
    <w:lvl w:ilvl="3" w:tplc="B41E5FA4">
      <w:start w:val="1"/>
      <w:numFmt w:val="decimal"/>
      <w:lvlText w:val="%4."/>
      <w:lvlJc w:val="left"/>
      <w:pPr>
        <w:ind w:left="2880" w:hanging="360"/>
      </w:pPr>
    </w:lvl>
    <w:lvl w:ilvl="4" w:tplc="8D94F92A">
      <w:start w:val="1"/>
      <w:numFmt w:val="lowerLetter"/>
      <w:lvlText w:val="%5."/>
      <w:lvlJc w:val="left"/>
      <w:pPr>
        <w:ind w:left="3600" w:hanging="360"/>
      </w:pPr>
    </w:lvl>
    <w:lvl w:ilvl="5" w:tplc="81DC49A0">
      <w:start w:val="1"/>
      <w:numFmt w:val="lowerRoman"/>
      <w:lvlText w:val="%6."/>
      <w:lvlJc w:val="right"/>
      <w:pPr>
        <w:ind w:left="4320" w:hanging="180"/>
      </w:pPr>
    </w:lvl>
    <w:lvl w:ilvl="6" w:tplc="EB7A2986">
      <w:start w:val="1"/>
      <w:numFmt w:val="decimal"/>
      <w:lvlText w:val="%7."/>
      <w:lvlJc w:val="left"/>
      <w:pPr>
        <w:ind w:left="5040" w:hanging="360"/>
      </w:pPr>
    </w:lvl>
    <w:lvl w:ilvl="7" w:tplc="403A7978">
      <w:start w:val="1"/>
      <w:numFmt w:val="lowerLetter"/>
      <w:lvlText w:val="%8."/>
      <w:lvlJc w:val="left"/>
      <w:pPr>
        <w:ind w:left="5760" w:hanging="360"/>
      </w:pPr>
    </w:lvl>
    <w:lvl w:ilvl="8" w:tplc="6368E846">
      <w:start w:val="1"/>
      <w:numFmt w:val="lowerRoman"/>
      <w:lvlText w:val="%9."/>
      <w:lvlJc w:val="right"/>
      <w:pPr>
        <w:ind w:left="6480" w:hanging="180"/>
      </w:pPr>
    </w:lvl>
  </w:abstractNum>
  <w:abstractNum w:abstractNumId="12" w15:restartNumberingAfterBreak="0">
    <w:nsid w:val="2012192F"/>
    <w:multiLevelType w:val="hybridMultilevel"/>
    <w:tmpl w:val="A554195E"/>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3" w15:restartNumberingAfterBreak="0">
    <w:nsid w:val="21CE1323"/>
    <w:multiLevelType w:val="hybridMultilevel"/>
    <w:tmpl w:val="C52A5122"/>
    <w:lvl w:ilvl="0" w:tplc="E28476EE">
      <w:start w:val="1"/>
      <w:numFmt w:val="bullet"/>
      <w:lvlText w:val=""/>
      <w:lvlPicBulletId w:val="3"/>
      <w:lvlJc w:val="left"/>
      <w:pPr>
        <w:tabs>
          <w:tab w:val="num" w:pos="720"/>
        </w:tabs>
        <w:ind w:left="720" w:hanging="360"/>
      </w:pPr>
      <w:rPr>
        <w:rFonts w:hint="default" w:ascii="Symbol" w:hAnsi="Symbol"/>
      </w:rPr>
    </w:lvl>
    <w:lvl w:ilvl="1" w:tplc="E5105D88" w:tentative="1">
      <w:start w:val="1"/>
      <w:numFmt w:val="bullet"/>
      <w:lvlText w:val=""/>
      <w:lvlJc w:val="left"/>
      <w:pPr>
        <w:tabs>
          <w:tab w:val="num" w:pos="1440"/>
        </w:tabs>
        <w:ind w:left="1440" w:hanging="360"/>
      </w:pPr>
      <w:rPr>
        <w:rFonts w:hint="default" w:ascii="Symbol" w:hAnsi="Symbol"/>
      </w:rPr>
    </w:lvl>
    <w:lvl w:ilvl="2" w:tplc="B916F806" w:tentative="1">
      <w:start w:val="1"/>
      <w:numFmt w:val="bullet"/>
      <w:lvlText w:val=""/>
      <w:lvlJc w:val="left"/>
      <w:pPr>
        <w:tabs>
          <w:tab w:val="num" w:pos="2160"/>
        </w:tabs>
        <w:ind w:left="2160" w:hanging="360"/>
      </w:pPr>
      <w:rPr>
        <w:rFonts w:hint="default" w:ascii="Symbol" w:hAnsi="Symbol"/>
      </w:rPr>
    </w:lvl>
    <w:lvl w:ilvl="3" w:tplc="BFB060F6" w:tentative="1">
      <w:start w:val="1"/>
      <w:numFmt w:val="bullet"/>
      <w:lvlText w:val=""/>
      <w:lvlJc w:val="left"/>
      <w:pPr>
        <w:tabs>
          <w:tab w:val="num" w:pos="2880"/>
        </w:tabs>
        <w:ind w:left="2880" w:hanging="360"/>
      </w:pPr>
      <w:rPr>
        <w:rFonts w:hint="default" w:ascii="Symbol" w:hAnsi="Symbol"/>
      </w:rPr>
    </w:lvl>
    <w:lvl w:ilvl="4" w:tplc="5C2C9F2C" w:tentative="1">
      <w:start w:val="1"/>
      <w:numFmt w:val="bullet"/>
      <w:lvlText w:val=""/>
      <w:lvlJc w:val="left"/>
      <w:pPr>
        <w:tabs>
          <w:tab w:val="num" w:pos="3600"/>
        </w:tabs>
        <w:ind w:left="3600" w:hanging="360"/>
      </w:pPr>
      <w:rPr>
        <w:rFonts w:hint="default" w:ascii="Symbol" w:hAnsi="Symbol"/>
      </w:rPr>
    </w:lvl>
    <w:lvl w:ilvl="5" w:tplc="FE5E0568" w:tentative="1">
      <w:start w:val="1"/>
      <w:numFmt w:val="bullet"/>
      <w:lvlText w:val=""/>
      <w:lvlJc w:val="left"/>
      <w:pPr>
        <w:tabs>
          <w:tab w:val="num" w:pos="4320"/>
        </w:tabs>
        <w:ind w:left="4320" w:hanging="360"/>
      </w:pPr>
      <w:rPr>
        <w:rFonts w:hint="default" w:ascii="Symbol" w:hAnsi="Symbol"/>
      </w:rPr>
    </w:lvl>
    <w:lvl w:ilvl="6" w:tplc="BD784AA0" w:tentative="1">
      <w:start w:val="1"/>
      <w:numFmt w:val="bullet"/>
      <w:lvlText w:val=""/>
      <w:lvlJc w:val="left"/>
      <w:pPr>
        <w:tabs>
          <w:tab w:val="num" w:pos="5040"/>
        </w:tabs>
        <w:ind w:left="5040" w:hanging="360"/>
      </w:pPr>
      <w:rPr>
        <w:rFonts w:hint="default" w:ascii="Symbol" w:hAnsi="Symbol"/>
      </w:rPr>
    </w:lvl>
    <w:lvl w:ilvl="7" w:tplc="6FB28D3A" w:tentative="1">
      <w:start w:val="1"/>
      <w:numFmt w:val="bullet"/>
      <w:lvlText w:val=""/>
      <w:lvlJc w:val="left"/>
      <w:pPr>
        <w:tabs>
          <w:tab w:val="num" w:pos="5760"/>
        </w:tabs>
        <w:ind w:left="5760" w:hanging="360"/>
      </w:pPr>
      <w:rPr>
        <w:rFonts w:hint="default" w:ascii="Symbol" w:hAnsi="Symbol"/>
      </w:rPr>
    </w:lvl>
    <w:lvl w:ilvl="8" w:tplc="905A6830" w:tentative="1">
      <w:start w:val="1"/>
      <w:numFmt w:val="bullet"/>
      <w:lvlText w:val=""/>
      <w:lvlJc w:val="left"/>
      <w:pPr>
        <w:tabs>
          <w:tab w:val="num" w:pos="6480"/>
        </w:tabs>
        <w:ind w:left="6480" w:hanging="360"/>
      </w:pPr>
      <w:rPr>
        <w:rFonts w:hint="default" w:ascii="Symbol" w:hAnsi="Symbol"/>
      </w:rPr>
    </w:lvl>
  </w:abstractNum>
  <w:abstractNum w:abstractNumId="14" w15:restartNumberingAfterBreak="0">
    <w:nsid w:val="23163487"/>
    <w:multiLevelType w:val="hybridMultilevel"/>
    <w:tmpl w:val="B920788C"/>
    <w:lvl w:ilvl="0" w:tplc="240A0005">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5" w15:restartNumberingAfterBreak="0">
    <w:nsid w:val="2427131F"/>
    <w:multiLevelType w:val="hybridMultilevel"/>
    <w:tmpl w:val="B2DE8A62"/>
    <w:lvl w:ilvl="0" w:tplc="384AD884">
      <w:start w:val="1"/>
      <w:numFmt w:val="decimal"/>
      <w:pStyle w:val="Ttulo1"/>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9A25DA9"/>
    <w:multiLevelType w:val="hybridMultilevel"/>
    <w:tmpl w:val="F31C04CC"/>
    <w:lvl w:ilvl="0" w:tplc="4B1CDB96">
      <w:start w:val="1"/>
      <w:numFmt w:val="bullet"/>
      <w:lvlText w:val=""/>
      <w:lvlPicBulletId w:val="0"/>
      <w:lvlJc w:val="left"/>
      <w:pPr>
        <w:tabs>
          <w:tab w:val="num" w:pos="720"/>
        </w:tabs>
        <w:ind w:left="720" w:hanging="360"/>
      </w:pPr>
      <w:rPr>
        <w:rFonts w:hint="default" w:ascii="Symbol" w:hAnsi="Symbol"/>
      </w:rPr>
    </w:lvl>
    <w:lvl w:ilvl="1" w:tplc="8976157A" w:tentative="1">
      <w:start w:val="1"/>
      <w:numFmt w:val="bullet"/>
      <w:lvlText w:val=""/>
      <w:lvlJc w:val="left"/>
      <w:pPr>
        <w:tabs>
          <w:tab w:val="num" w:pos="1440"/>
        </w:tabs>
        <w:ind w:left="1440" w:hanging="360"/>
      </w:pPr>
      <w:rPr>
        <w:rFonts w:hint="default" w:ascii="Symbol" w:hAnsi="Symbol"/>
      </w:rPr>
    </w:lvl>
    <w:lvl w:ilvl="2" w:tplc="352EB802" w:tentative="1">
      <w:start w:val="1"/>
      <w:numFmt w:val="bullet"/>
      <w:lvlText w:val=""/>
      <w:lvlJc w:val="left"/>
      <w:pPr>
        <w:tabs>
          <w:tab w:val="num" w:pos="2160"/>
        </w:tabs>
        <w:ind w:left="2160" w:hanging="360"/>
      </w:pPr>
      <w:rPr>
        <w:rFonts w:hint="default" w:ascii="Symbol" w:hAnsi="Symbol"/>
      </w:rPr>
    </w:lvl>
    <w:lvl w:ilvl="3" w:tplc="95A8D61E" w:tentative="1">
      <w:start w:val="1"/>
      <w:numFmt w:val="bullet"/>
      <w:lvlText w:val=""/>
      <w:lvlJc w:val="left"/>
      <w:pPr>
        <w:tabs>
          <w:tab w:val="num" w:pos="2880"/>
        </w:tabs>
        <w:ind w:left="2880" w:hanging="360"/>
      </w:pPr>
      <w:rPr>
        <w:rFonts w:hint="default" w:ascii="Symbol" w:hAnsi="Symbol"/>
      </w:rPr>
    </w:lvl>
    <w:lvl w:ilvl="4" w:tplc="B7F2658E" w:tentative="1">
      <w:start w:val="1"/>
      <w:numFmt w:val="bullet"/>
      <w:lvlText w:val=""/>
      <w:lvlJc w:val="left"/>
      <w:pPr>
        <w:tabs>
          <w:tab w:val="num" w:pos="3600"/>
        </w:tabs>
        <w:ind w:left="3600" w:hanging="360"/>
      </w:pPr>
      <w:rPr>
        <w:rFonts w:hint="default" w:ascii="Symbol" w:hAnsi="Symbol"/>
      </w:rPr>
    </w:lvl>
    <w:lvl w:ilvl="5" w:tplc="6BEA6168" w:tentative="1">
      <w:start w:val="1"/>
      <w:numFmt w:val="bullet"/>
      <w:lvlText w:val=""/>
      <w:lvlJc w:val="left"/>
      <w:pPr>
        <w:tabs>
          <w:tab w:val="num" w:pos="4320"/>
        </w:tabs>
        <w:ind w:left="4320" w:hanging="360"/>
      </w:pPr>
      <w:rPr>
        <w:rFonts w:hint="default" w:ascii="Symbol" w:hAnsi="Symbol"/>
      </w:rPr>
    </w:lvl>
    <w:lvl w:ilvl="6" w:tplc="449CA7F6" w:tentative="1">
      <w:start w:val="1"/>
      <w:numFmt w:val="bullet"/>
      <w:lvlText w:val=""/>
      <w:lvlJc w:val="left"/>
      <w:pPr>
        <w:tabs>
          <w:tab w:val="num" w:pos="5040"/>
        </w:tabs>
        <w:ind w:left="5040" w:hanging="360"/>
      </w:pPr>
      <w:rPr>
        <w:rFonts w:hint="default" w:ascii="Symbol" w:hAnsi="Symbol"/>
      </w:rPr>
    </w:lvl>
    <w:lvl w:ilvl="7" w:tplc="174070BA" w:tentative="1">
      <w:start w:val="1"/>
      <w:numFmt w:val="bullet"/>
      <w:lvlText w:val=""/>
      <w:lvlJc w:val="left"/>
      <w:pPr>
        <w:tabs>
          <w:tab w:val="num" w:pos="5760"/>
        </w:tabs>
        <w:ind w:left="5760" w:hanging="360"/>
      </w:pPr>
      <w:rPr>
        <w:rFonts w:hint="default" w:ascii="Symbol" w:hAnsi="Symbol"/>
      </w:rPr>
    </w:lvl>
    <w:lvl w:ilvl="8" w:tplc="30FECF88" w:tentative="1">
      <w:start w:val="1"/>
      <w:numFmt w:val="bullet"/>
      <w:lvlText w:val=""/>
      <w:lvlJc w:val="left"/>
      <w:pPr>
        <w:tabs>
          <w:tab w:val="num" w:pos="6480"/>
        </w:tabs>
        <w:ind w:left="6480" w:hanging="360"/>
      </w:pPr>
      <w:rPr>
        <w:rFonts w:hint="default" w:ascii="Symbol" w:hAnsi="Symbol"/>
      </w:rPr>
    </w:lvl>
  </w:abstractNum>
  <w:abstractNum w:abstractNumId="17" w15:restartNumberingAfterBreak="0">
    <w:nsid w:val="2A6F267C"/>
    <w:multiLevelType w:val="multilevel"/>
    <w:tmpl w:val="177AFCA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2C9F131D"/>
    <w:multiLevelType w:val="multilevel"/>
    <w:tmpl w:val="B9A20A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0346985"/>
    <w:multiLevelType w:val="hybridMultilevel"/>
    <w:tmpl w:val="B8C6F1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310A0182"/>
    <w:multiLevelType w:val="hybridMultilevel"/>
    <w:tmpl w:val="0DF4B58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34F31739"/>
    <w:multiLevelType w:val="hybridMultilevel"/>
    <w:tmpl w:val="D9E4A6F2"/>
    <w:lvl w:ilvl="0" w:tplc="26609904">
      <w:start w:val="11"/>
      <w:numFmt w:val="bullet"/>
      <w:lvlText w:val="-"/>
      <w:lvlJc w:val="left"/>
      <w:pPr>
        <w:ind w:left="1080" w:hanging="360"/>
      </w:pPr>
      <w:rPr>
        <w:rFonts w:hint="default" w:ascii="Arial" w:hAnsi="Arial" w:eastAsia="Calibri" w:cs="Aria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22" w15:restartNumberingAfterBreak="0">
    <w:nsid w:val="39B50D9D"/>
    <w:multiLevelType w:val="multilevel"/>
    <w:tmpl w:val="CED439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3D2D29D6"/>
    <w:multiLevelType w:val="hybridMultilevel"/>
    <w:tmpl w:val="57B67A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3FA0AE2F"/>
    <w:multiLevelType w:val="hybridMultilevel"/>
    <w:tmpl w:val="1250CAB2"/>
    <w:lvl w:ilvl="0" w:tplc="B89CC1DA">
      <w:start w:val="1"/>
      <w:numFmt w:val="bullet"/>
      <w:lvlText w:val=""/>
      <w:lvlJc w:val="left"/>
      <w:pPr>
        <w:ind w:left="720" w:hanging="360"/>
      </w:pPr>
      <w:rPr>
        <w:rFonts w:hint="default" w:ascii="Symbol" w:hAnsi="Symbol"/>
      </w:rPr>
    </w:lvl>
    <w:lvl w:ilvl="1" w:tplc="3C760F58">
      <w:start w:val="1"/>
      <w:numFmt w:val="bullet"/>
      <w:lvlText w:val="o"/>
      <w:lvlJc w:val="left"/>
      <w:pPr>
        <w:ind w:left="1440" w:hanging="360"/>
      </w:pPr>
      <w:rPr>
        <w:rFonts w:hint="default" w:ascii="Courier New" w:hAnsi="Courier New"/>
      </w:rPr>
    </w:lvl>
    <w:lvl w:ilvl="2" w:tplc="08A4D982">
      <w:start w:val="1"/>
      <w:numFmt w:val="bullet"/>
      <w:lvlText w:val=""/>
      <w:lvlJc w:val="left"/>
      <w:pPr>
        <w:ind w:left="2160" w:hanging="360"/>
      </w:pPr>
      <w:rPr>
        <w:rFonts w:hint="default" w:ascii="Wingdings" w:hAnsi="Wingdings"/>
      </w:rPr>
    </w:lvl>
    <w:lvl w:ilvl="3" w:tplc="0D12B190">
      <w:start w:val="1"/>
      <w:numFmt w:val="bullet"/>
      <w:lvlText w:val=""/>
      <w:lvlJc w:val="left"/>
      <w:pPr>
        <w:ind w:left="2880" w:hanging="360"/>
      </w:pPr>
      <w:rPr>
        <w:rFonts w:hint="default" w:ascii="Symbol" w:hAnsi="Symbol"/>
      </w:rPr>
    </w:lvl>
    <w:lvl w:ilvl="4" w:tplc="81ECC82A">
      <w:start w:val="1"/>
      <w:numFmt w:val="bullet"/>
      <w:lvlText w:val="o"/>
      <w:lvlJc w:val="left"/>
      <w:pPr>
        <w:ind w:left="3600" w:hanging="360"/>
      </w:pPr>
      <w:rPr>
        <w:rFonts w:hint="default" w:ascii="Courier New" w:hAnsi="Courier New"/>
      </w:rPr>
    </w:lvl>
    <w:lvl w:ilvl="5" w:tplc="8B7CBBAA">
      <w:start w:val="1"/>
      <w:numFmt w:val="bullet"/>
      <w:lvlText w:val=""/>
      <w:lvlJc w:val="left"/>
      <w:pPr>
        <w:ind w:left="4320" w:hanging="360"/>
      </w:pPr>
      <w:rPr>
        <w:rFonts w:hint="default" w:ascii="Wingdings" w:hAnsi="Wingdings"/>
      </w:rPr>
    </w:lvl>
    <w:lvl w:ilvl="6" w:tplc="0CCC4508">
      <w:start w:val="1"/>
      <w:numFmt w:val="bullet"/>
      <w:lvlText w:val=""/>
      <w:lvlJc w:val="left"/>
      <w:pPr>
        <w:ind w:left="5040" w:hanging="360"/>
      </w:pPr>
      <w:rPr>
        <w:rFonts w:hint="default" w:ascii="Symbol" w:hAnsi="Symbol"/>
      </w:rPr>
    </w:lvl>
    <w:lvl w:ilvl="7" w:tplc="908496F2">
      <w:start w:val="1"/>
      <w:numFmt w:val="bullet"/>
      <w:lvlText w:val="o"/>
      <w:lvlJc w:val="left"/>
      <w:pPr>
        <w:ind w:left="5760" w:hanging="360"/>
      </w:pPr>
      <w:rPr>
        <w:rFonts w:hint="default" w:ascii="Courier New" w:hAnsi="Courier New"/>
      </w:rPr>
    </w:lvl>
    <w:lvl w:ilvl="8" w:tplc="31FCDB8C">
      <w:start w:val="1"/>
      <w:numFmt w:val="bullet"/>
      <w:lvlText w:val=""/>
      <w:lvlJc w:val="left"/>
      <w:pPr>
        <w:ind w:left="6480" w:hanging="360"/>
      </w:pPr>
      <w:rPr>
        <w:rFonts w:hint="default" w:ascii="Wingdings" w:hAnsi="Wingdings"/>
      </w:rPr>
    </w:lvl>
  </w:abstractNum>
  <w:abstractNum w:abstractNumId="25" w15:restartNumberingAfterBreak="0">
    <w:nsid w:val="422B2BF1"/>
    <w:multiLevelType w:val="hybridMultilevel"/>
    <w:tmpl w:val="FB487F2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783A2C8"/>
    <w:multiLevelType w:val="hybridMultilevel"/>
    <w:tmpl w:val="F904B66E"/>
    <w:lvl w:ilvl="0" w:tplc="1ED08992">
      <w:start w:val="1"/>
      <w:numFmt w:val="bullet"/>
      <w:lvlText w:val=""/>
      <w:lvlJc w:val="left"/>
      <w:pPr>
        <w:ind w:left="720" w:hanging="360"/>
      </w:pPr>
      <w:rPr>
        <w:rFonts w:hint="default" w:ascii="Symbol" w:hAnsi="Symbol"/>
      </w:rPr>
    </w:lvl>
    <w:lvl w:ilvl="1" w:tplc="30547DA2">
      <w:start w:val="1"/>
      <w:numFmt w:val="bullet"/>
      <w:lvlText w:val="o"/>
      <w:lvlJc w:val="left"/>
      <w:pPr>
        <w:ind w:left="1440" w:hanging="360"/>
      </w:pPr>
      <w:rPr>
        <w:rFonts w:hint="default" w:ascii="Courier New" w:hAnsi="Courier New"/>
      </w:rPr>
    </w:lvl>
    <w:lvl w:ilvl="2" w:tplc="120CA0A0">
      <w:start w:val="1"/>
      <w:numFmt w:val="bullet"/>
      <w:lvlText w:val=""/>
      <w:lvlJc w:val="left"/>
      <w:pPr>
        <w:ind w:left="2160" w:hanging="360"/>
      </w:pPr>
      <w:rPr>
        <w:rFonts w:hint="default" w:ascii="Wingdings" w:hAnsi="Wingdings"/>
      </w:rPr>
    </w:lvl>
    <w:lvl w:ilvl="3" w:tplc="A7CE0AA4">
      <w:start w:val="1"/>
      <w:numFmt w:val="bullet"/>
      <w:lvlText w:val=""/>
      <w:lvlJc w:val="left"/>
      <w:pPr>
        <w:ind w:left="2880" w:hanging="360"/>
      </w:pPr>
      <w:rPr>
        <w:rFonts w:hint="default" w:ascii="Symbol" w:hAnsi="Symbol"/>
      </w:rPr>
    </w:lvl>
    <w:lvl w:ilvl="4" w:tplc="A71EBACA">
      <w:start w:val="1"/>
      <w:numFmt w:val="bullet"/>
      <w:lvlText w:val="o"/>
      <w:lvlJc w:val="left"/>
      <w:pPr>
        <w:ind w:left="3600" w:hanging="360"/>
      </w:pPr>
      <w:rPr>
        <w:rFonts w:hint="default" w:ascii="Courier New" w:hAnsi="Courier New"/>
      </w:rPr>
    </w:lvl>
    <w:lvl w:ilvl="5" w:tplc="6964C132">
      <w:start w:val="1"/>
      <w:numFmt w:val="bullet"/>
      <w:lvlText w:val=""/>
      <w:lvlJc w:val="left"/>
      <w:pPr>
        <w:ind w:left="4320" w:hanging="360"/>
      </w:pPr>
      <w:rPr>
        <w:rFonts w:hint="default" w:ascii="Wingdings" w:hAnsi="Wingdings"/>
      </w:rPr>
    </w:lvl>
    <w:lvl w:ilvl="6" w:tplc="3AB82EA4">
      <w:start w:val="1"/>
      <w:numFmt w:val="bullet"/>
      <w:lvlText w:val=""/>
      <w:lvlJc w:val="left"/>
      <w:pPr>
        <w:ind w:left="5040" w:hanging="360"/>
      </w:pPr>
      <w:rPr>
        <w:rFonts w:hint="default" w:ascii="Symbol" w:hAnsi="Symbol"/>
      </w:rPr>
    </w:lvl>
    <w:lvl w:ilvl="7" w:tplc="B8DAFB90">
      <w:start w:val="1"/>
      <w:numFmt w:val="bullet"/>
      <w:lvlText w:val="o"/>
      <w:lvlJc w:val="left"/>
      <w:pPr>
        <w:ind w:left="5760" w:hanging="360"/>
      </w:pPr>
      <w:rPr>
        <w:rFonts w:hint="default" w:ascii="Courier New" w:hAnsi="Courier New"/>
      </w:rPr>
    </w:lvl>
    <w:lvl w:ilvl="8" w:tplc="6F6E4D3A">
      <w:start w:val="1"/>
      <w:numFmt w:val="bullet"/>
      <w:lvlText w:val=""/>
      <w:lvlJc w:val="left"/>
      <w:pPr>
        <w:ind w:left="6480" w:hanging="360"/>
      </w:pPr>
      <w:rPr>
        <w:rFonts w:hint="default" w:ascii="Wingdings" w:hAnsi="Wingdings"/>
      </w:rPr>
    </w:lvl>
  </w:abstractNum>
  <w:abstractNum w:abstractNumId="27" w15:restartNumberingAfterBreak="0">
    <w:nsid w:val="4892552A"/>
    <w:multiLevelType w:val="hybridMultilevel"/>
    <w:tmpl w:val="DA9C4D0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8" w15:restartNumberingAfterBreak="0">
    <w:nsid w:val="4AD758AE"/>
    <w:multiLevelType w:val="multilevel"/>
    <w:tmpl w:val="BCDCE196"/>
    <w:lvl w:ilvl="0">
      <w:start w:val="11"/>
      <w:numFmt w:val="bullet"/>
      <w:lvlText w:val="-"/>
      <w:lvlJc w:val="left"/>
      <w:pPr>
        <w:tabs>
          <w:tab w:val="num" w:pos="720"/>
        </w:tabs>
        <w:ind w:left="720" w:hanging="360"/>
      </w:pPr>
      <w:rPr>
        <w:rFonts w:hint="default" w:ascii="Arial" w:hAnsi="Arial" w:eastAsia="Calibri" w:cs="Aria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4C756B6F"/>
    <w:multiLevelType w:val="multilevel"/>
    <w:tmpl w:val="91BC82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4EF08AEC"/>
    <w:multiLevelType w:val="hybridMultilevel"/>
    <w:tmpl w:val="B9405838"/>
    <w:lvl w:ilvl="0" w:tplc="D7F8D236">
      <w:start w:val="1"/>
      <w:numFmt w:val="bullet"/>
      <w:lvlText w:val="-"/>
      <w:lvlJc w:val="left"/>
      <w:pPr>
        <w:ind w:left="720" w:hanging="360"/>
      </w:pPr>
      <w:rPr>
        <w:rFonts w:hint="default" w:ascii="Aptos" w:hAnsi="Aptos"/>
      </w:rPr>
    </w:lvl>
    <w:lvl w:ilvl="1" w:tplc="EFC887B8">
      <w:start w:val="1"/>
      <w:numFmt w:val="bullet"/>
      <w:lvlText w:val="o"/>
      <w:lvlJc w:val="left"/>
      <w:pPr>
        <w:ind w:left="1440" w:hanging="360"/>
      </w:pPr>
      <w:rPr>
        <w:rFonts w:hint="default" w:ascii="Courier New" w:hAnsi="Courier New"/>
      </w:rPr>
    </w:lvl>
    <w:lvl w:ilvl="2" w:tplc="1B4CA18E">
      <w:start w:val="1"/>
      <w:numFmt w:val="bullet"/>
      <w:lvlText w:val=""/>
      <w:lvlJc w:val="left"/>
      <w:pPr>
        <w:ind w:left="2160" w:hanging="360"/>
      </w:pPr>
      <w:rPr>
        <w:rFonts w:hint="default" w:ascii="Wingdings" w:hAnsi="Wingdings"/>
      </w:rPr>
    </w:lvl>
    <w:lvl w:ilvl="3" w:tplc="5FDC06F2">
      <w:start w:val="1"/>
      <w:numFmt w:val="bullet"/>
      <w:lvlText w:val=""/>
      <w:lvlJc w:val="left"/>
      <w:pPr>
        <w:ind w:left="2880" w:hanging="360"/>
      </w:pPr>
      <w:rPr>
        <w:rFonts w:hint="default" w:ascii="Symbol" w:hAnsi="Symbol"/>
      </w:rPr>
    </w:lvl>
    <w:lvl w:ilvl="4" w:tplc="BE4E5EBC">
      <w:start w:val="1"/>
      <w:numFmt w:val="bullet"/>
      <w:lvlText w:val="o"/>
      <w:lvlJc w:val="left"/>
      <w:pPr>
        <w:ind w:left="3600" w:hanging="360"/>
      </w:pPr>
      <w:rPr>
        <w:rFonts w:hint="default" w:ascii="Courier New" w:hAnsi="Courier New"/>
      </w:rPr>
    </w:lvl>
    <w:lvl w:ilvl="5" w:tplc="C400E3BC">
      <w:start w:val="1"/>
      <w:numFmt w:val="bullet"/>
      <w:lvlText w:val=""/>
      <w:lvlJc w:val="left"/>
      <w:pPr>
        <w:ind w:left="4320" w:hanging="360"/>
      </w:pPr>
      <w:rPr>
        <w:rFonts w:hint="default" w:ascii="Wingdings" w:hAnsi="Wingdings"/>
      </w:rPr>
    </w:lvl>
    <w:lvl w:ilvl="6" w:tplc="26C227F4">
      <w:start w:val="1"/>
      <w:numFmt w:val="bullet"/>
      <w:lvlText w:val=""/>
      <w:lvlJc w:val="left"/>
      <w:pPr>
        <w:ind w:left="5040" w:hanging="360"/>
      </w:pPr>
      <w:rPr>
        <w:rFonts w:hint="default" w:ascii="Symbol" w:hAnsi="Symbol"/>
      </w:rPr>
    </w:lvl>
    <w:lvl w:ilvl="7" w:tplc="381013EE">
      <w:start w:val="1"/>
      <w:numFmt w:val="bullet"/>
      <w:lvlText w:val="o"/>
      <w:lvlJc w:val="left"/>
      <w:pPr>
        <w:ind w:left="5760" w:hanging="360"/>
      </w:pPr>
      <w:rPr>
        <w:rFonts w:hint="default" w:ascii="Courier New" w:hAnsi="Courier New"/>
      </w:rPr>
    </w:lvl>
    <w:lvl w:ilvl="8" w:tplc="078612C8">
      <w:start w:val="1"/>
      <w:numFmt w:val="bullet"/>
      <w:lvlText w:val=""/>
      <w:lvlJc w:val="left"/>
      <w:pPr>
        <w:ind w:left="6480" w:hanging="360"/>
      </w:pPr>
      <w:rPr>
        <w:rFonts w:hint="default" w:ascii="Wingdings" w:hAnsi="Wingdings"/>
      </w:rPr>
    </w:lvl>
  </w:abstractNum>
  <w:abstractNum w:abstractNumId="31" w15:restartNumberingAfterBreak="0">
    <w:nsid w:val="50F931F3"/>
    <w:multiLevelType w:val="hybridMultilevel"/>
    <w:tmpl w:val="A38E04F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2" w15:restartNumberingAfterBreak="0">
    <w:nsid w:val="544B7F0A"/>
    <w:multiLevelType w:val="multilevel"/>
    <w:tmpl w:val="3AD696C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2"/>
      <w:numFmt w:val="lowerLetter"/>
      <w:lvlText w:val="%3."/>
      <w:lvlJc w:val="left"/>
      <w:pPr>
        <w:ind w:left="1224" w:hanging="504"/>
      </w:pPr>
      <w:rPr>
        <w:rFonts w:hint="default" w:ascii="Arial" w:hAnsi="Arial"/>
        <w:b/>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456408C"/>
    <w:multiLevelType w:val="hybridMultilevel"/>
    <w:tmpl w:val="EE98F0FE"/>
    <w:lvl w:ilvl="0" w:tplc="C92297CA">
      <w:start w:val="1"/>
      <w:numFmt w:val="bullet"/>
      <w:lvlText w:val=""/>
      <w:lvlPicBulletId w:val="1"/>
      <w:lvlJc w:val="left"/>
      <w:pPr>
        <w:tabs>
          <w:tab w:val="num" w:pos="720"/>
        </w:tabs>
        <w:ind w:left="720" w:hanging="360"/>
      </w:pPr>
      <w:rPr>
        <w:rFonts w:hint="default" w:ascii="Symbol" w:hAnsi="Symbol"/>
      </w:rPr>
    </w:lvl>
    <w:lvl w:ilvl="1" w:tplc="85160F32" w:tentative="1">
      <w:start w:val="1"/>
      <w:numFmt w:val="bullet"/>
      <w:lvlText w:val=""/>
      <w:lvlJc w:val="left"/>
      <w:pPr>
        <w:tabs>
          <w:tab w:val="num" w:pos="1440"/>
        </w:tabs>
        <w:ind w:left="1440" w:hanging="360"/>
      </w:pPr>
      <w:rPr>
        <w:rFonts w:hint="default" w:ascii="Symbol" w:hAnsi="Symbol"/>
      </w:rPr>
    </w:lvl>
    <w:lvl w:ilvl="2" w:tplc="66740E88" w:tentative="1">
      <w:start w:val="1"/>
      <w:numFmt w:val="bullet"/>
      <w:lvlText w:val=""/>
      <w:lvlJc w:val="left"/>
      <w:pPr>
        <w:tabs>
          <w:tab w:val="num" w:pos="2160"/>
        </w:tabs>
        <w:ind w:left="2160" w:hanging="360"/>
      </w:pPr>
      <w:rPr>
        <w:rFonts w:hint="default" w:ascii="Symbol" w:hAnsi="Symbol"/>
      </w:rPr>
    </w:lvl>
    <w:lvl w:ilvl="3" w:tplc="C3E2286C" w:tentative="1">
      <w:start w:val="1"/>
      <w:numFmt w:val="bullet"/>
      <w:lvlText w:val=""/>
      <w:lvlJc w:val="left"/>
      <w:pPr>
        <w:tabs>
          <w:tab w:val="num" w:pos="2880"/>
        </w:tabs>
        <w:ind w:left="2880" w:hanging="360"/>
      </w:pPr>
      <w:rPr>
        <w:rFonts w:hint="default" w:ascii="Symbol" w:hAnsi="Symbol"/>
      </w:rPr>
    </w:lvl>
    <w:lvl w:ilvl="4" w:tplc="1C24E6AC" w:tentative="1">
      <w:start w:val="1"/>
      <w:numFmt w:val="bullet"/>
      <w:lvlText w:val=""/>
      <w:lvlJc w:val="left"/>
      <w:pPr>
        <w:tabs>
          <w:tab w:val="num" w:pos="3600"/>
        </w:tabs>
        <w:ind w:left="3600" w:hanging="360"/>
      </w:pPr>
      <w:rPr>
        <w:rFonts w:hint="default" w:ascii="Symbol" w:hAnsi="Symbol"/>
      </w:rPr>
    </w:lvl>
    <w:lvl w:ilvl="5" w:tplc="17DA5EA8" w:tentative="1">
      <w:start w:val="1"/>
      <w:numFmt w:val="bullet"/>
      <w:lvlText w:val=""/>
      <w:lvlJc w:val="left"/>
      <w:pPr>
        <w:tabs>
          <w:tab w:val="num" w:pos="4320"/>
        </w:tabs>
        <w:ind w:left="4320" w:hanging="360"/>
      </w:pPr>
      <w:rPr>
        <w:rFonts w:hint="default" w:ascii="Symbol" w:hAnsi="Symbol"/>
      </w:rPr>
    </w:lvl>
    <w:lvl w:ilvl="6" w:tplc="B0E240E6" w:tentative="1">
      <w:start w:val="1"/>
      <w:numFmt w:val="bullet"/>
      <w:lvlText w:val=""/>
      <w:lvlJc w:val="left"/>
      <w:pPr>
        <w:tabs>
          <w:tab w:val="num" w:pos="5040"/>
        </w:tabs>
        <w:ind w:left="5040" w:hanging="360"/>
      </w:pPr>
      <w:rPr>
        <w:rFonts w:hint="default" w:ascii="Symbol" w:hAnsi="Symbol"/>
      </w:rPr>
    </w:lvl>
    <w:lvl w:ilvl="7" w:tplc="3B020DD8" w:tentative="1">
      <w:start w:val="1"/>
      <w:numFmt w:val="bullet"/>
      <w:lvlText w:val=""/>
      <w:lvlJc w:val="left"/>
      <w:pPr>
        <w:tabs>
          <w:tab w:val="num" w:pos="5760"/>
        </w:tabs>
        <w:ind w:left="5760" w:hanging="360"/>
      </w:pPr>
      <w:rPr>
        <w:rFonts w:hint="default" w:ascii="Symbol" w:hAnsi="Symbol"/>
      </w:rPr>
    </w:lvl>
    <w:lvl w:ilvl="8" w:tplc="62E45810" w:tentative="1">
      <w:start w:val="1"/>
      <w:numFmt w:val="bullet"/>
      <w:lvlText w:val=""/>
      <w:lvlJc w:val="left"/>
      <w:pPr>
        <w:tabs>
          <w:tab w:val="num" w:pos="6480"/>
        </w:tabs>
        <w:ind w:left="6480" w:hanging="360"/>
      </w:pPr>
      <w:rPr>
        <w:rFonts w:hint="default" w:ascii="Symbol" w:hAnsi="Symbol"/>
      </w:rPr>
    </w:lvl>
  </w:abstractNum>
  <w:abstractNum w:abstractNumId="34" w15:restartNumberingAfterBreak="0">
    <w:nsid w:val="585F5ECD"/>
    <w:multiLevelType w:val="hybridMultilevel"/>
    <w:tmpl w:val="663A5418"/>
    <w:lvl w:ilvl="0" w:tplc="AB4E4138">
      <w:start w:val="1"/>
      <w:numFmt w:val="bullet"/>
      <w:lvlText w:val=""/>
      <w:lvlJc w:val="left"/>
      <w:pPr>
        <w:ind w:left="720" w:hanging="360"/>
      </w:pPr>
      <w:rPr>
        <w:rFonts w:hint="default" w:ascii="Symbol" w:hAnsi="Symbol"/>
      </w:rPr>
    </w:lvl>
    <w:lvl w:ilvl="1" w:tplc="4C2A49E6">
      <w:start w:val="1"/>
      <w:numFmt w:val="bullet"/>
      <w:lvlText w:val="o"/>
      <w:lvlJc w:val="left"/>
      <w:pPr>
        <w:ind w:left="1440" w:hanging="360"/>
      </w:pPr>
      <w:rPr>
        <w:rFonts w:hint="default" w:ascii="Courier New" w:hAnsi="Courier New"/>
      </w:rPr>
    </w:lvl>
    <w:lvl w:ilvl="2" w:tplc="643CDC24">
      <w:start w:val="1"/>
      <w:numFmt w:val="bullet"/>
      <w:lvlText w:val=""/>
      <w:lvlJc w:val="left"/>
      <w:pPr>
        <w:ind w:left="2160" w:hanging="360"/>
      </w:pPr>
      <w:rPr>
        <w:rFonts w:hint="default" w:ascii="Wingdings" w:hAnsi="Wingdings"/>
      </w:rPr>
    </w:lvl>
    <w:lvl w:ilvl="3" w:tplc="07CA319C">
      <w:start w:val="1"/>
      <w:numFmt w:val="bullet"/>
      <w:lvlText w:val=""/>
      <w:lvlJc w:val="left"/>
      <w:pPr>
        <w:ind w:left="2880" w:hanging="360"/>
      </w:pPr>
      <w:rPr>
        <w:rFonts w:hint="default" w:ascii="Symbol" w:hAnsi="Symbol"/>
      </w:rPr>
    </w:lvl>
    <w:lvl w:ilvl="4" w:tplc="BE8209FE">
      <w:start w:val="1"/>
      <w:numFmt w:val="bullet"/>
      <w:lvlText w:val="o"/>
      <w:lvlJc w:val="left"/>
      <w:pPr>
        <w:ind w:left="3600" w:hanging="360"/>
      </w:pPr>
      <w:rPr>
        <w:rFonts w:hint="default" w:ascii="Courier New" w:hAnsi="Courier New"/>
      </w:rPr>
    </w:lvl>
    <w:lvl w:ilvl="5" w:tplc="BEAA254C">
      <w:start w:val="1"/>
      <w:numFmt w:val="bullet"/>
      <w:lvlText w:val=""/>
      <w:lvlJc w:val="left"/>
      <w:pPr>
        <w:ind w:left="4320" w:hanging="360"/>
      </w:pPr>
      <w:rPr>
        <w:rFonts w:hint="default" w:ascii="Wingdings" w:hAnsi="Wingdings"/>
      </w:rPr>
    </w:lvl>
    <w:lvl w:ilvl="6" w:tplc="2364331C">
      <w:start w:val="1"/>
      <w:numFmt w:val="bullet"/>
      <w:lvlText w:val=""/>
      <w:lvlJc w:val="left"/>
      <w:pPr>
        <w:ind w:left="5040" w:hanging="360"/>
      </w:pPr>
      <w:rPr>
        <w:rFonts w:hint="default" w:ascii="Symbol" w:hAnsi="Symbol"/>
      </w:rPr>
    </w:lvl>
    <w:lvl w:ilvl="7" w:tplc="21FE855A">
      <w:start w:val="1"/>
      <w:numFmt w:val="bullet"/>
      <w:lvlText w:val="o"/>
      <w:lvlJc w:val="left"/>
      <w:pPr>
        <w:ind w:left="5760" w:hanging="360"/>
      </w:pPr>
      <w:rPr>
        <w:rFonts w:hint="default" w:ascii="Courier New" w:hAnsi="Courier New"/>
      </w:rPr>
    </w:lvl>
    <w:lvl w:ilvl="8" w:tplc="44643D10">
      <w:start w:val="1"/>
      <w:numFmt w:val="bullet"/>
      <w:lvlText w:val=""/>
      <w:lvlJc w:val="left"/>
      <w:pPr>
        <w:ind w:left="6480" w:hanging="360"/>
      </w:pPr>
      <w:rPr>
        <w:rFonts w:hint="default" w:ascii="Wingdings" w:hAnsi="Wingdings"/>
      </w:rPr>
    </w:lvl>
  </w:abstractNum>
  <w:abstractNum w:abstractNumId="35" w15:restartNumberingAfterBreak="0">
    <w:nsid w:val="5FFE775C"/>
    <w:multiLevelType w:val="hybridMultilevel"/>
    <w:tmpl w:val="2A24EC7A"/>
    <w:lvl w:ilvl="0" w:tplc="A322E5FE">
      <w:start w:val="1"/>
      <w:numFmt w:val="bullet"/>
      <w:lvlText w:val="-"/>
      <w:lvlJc w:val="left"/>
      <w:pPr>
        <w:ind w:left="720" w:hanging="360"/>
      </w:pPr>
      <w:rPr>
        <w:rFonts w:hint="default" w:ascii="Aptos" w:hAnsi="Aptos"/>
      </w:rPr>
    </w:lvl>
    <w:lvl w:ilvl="1" w:tplc="C8089172">
      <w:start w:val="1"/>
      <w:numFmt w:val="bullet"/>
      <w:lvlText w:val="o"/>
      <w:lvlJc w:val="left"/>
      <w:pPr>
        <w:ind w:left="1440" w:hanging="360"/>
      </w:pPr>
      <w:rPr>
        <w:rFonts w:hint="default" w:ascii="Courier New" w:hAnsi="Courier New"/>
      </w:rPr>
    </w:lvl>
    <w:lvl w:ilvl="2" w:tplc="528AE5D2">
      <w:start w:val="1"/>
      <w:numFmt w:val="bullet"/>
      <w:lvlText w:val=""/>
      <w:lvlJc w:val="left"/>
      <w:pPr>
        <w:ind w:left="2160" w:hanging="360"/>
      </w:pPr>
      <w:rPr>
        <w:rFonts w:hint="default" w:ascii="Wingdings" w:hAnsi="Wingdings"/>
      </w:rPr>
    </w:lvl>
    <w:lvl w:ilvl="3" w:tplc="6CCC6232">
      <w:start w:val="1"/>
      <w:numFmt w:val="bullet"/>
      <w:lvlText w:val=""/>
      <w:lvlJc w:val="left"/>
      <w:pPr>
        <w:ind w:left="2880" w:hanging="360"/>
      </w:pPr>
      <w:rPr>
        <w:rFonts w:hint="default" w:ascii="Symbol" w:hAnsi="Symbol"/>
      </w:rPr>
    </w:lvl>
    <w:lvl w:ilvl="4" w:tplc="901C2448">
      <w:start w:val="1"/>
      <w:numFmt w:val="bullet"/>
      <w:lvlText w:val="o"/>
      <w:lvlJc w:val="left"/>
      <w:pPr>
        <w:ind w:left="3600" w:hanging="360"/>
      </w:pPr>
      <w:rPr>
        <w:rFonts w:hint="default" w:ascii="Courier New" w:hAnsi="Courier New"/>
      </w:rPr>
    </w:lvl>
    <w:lvl w:ilvl="5" w:tplc="6A2693BE">
      <w:start w:val="1"/>
      <w:numFmt w:val="bullet"/>
      <w:lvlText w:val=""/>
      <w:lvlJc w:val="left"/>
      <w:pPr>
        <w:ind w:left="4320" w:hanging="360"/>
      </w:pPr>
      <w:rPr>
        <w:rFonts w:hint="default" w:ascii="Wingdings" w:hAnsi="Wingdings"/>
      </w:rPr>
    </w:lvl>
    <w:lvl w:ilvl="6" w:tplc="85AEDF3A">
      <w:start w:val="1"/>
      <w:numFmt w:val="bullet"/>
      <w:lvlText w:val=""/>
      <w:lvlJc w:val="left"/>
      <w:pPr>
        <w:ind w:left="5040" w:hanging="360"/>
      </w:pPr>
      <w:rPr>
        <w:rFonts w:hint="default" w:ascii="Symbol" w:hAnsi="Symbol"/>
      </w:rPr>
    </w:lvl>
    <w:lvl w:ilvl="7" w:tplc="6C9E665C">
      <w:start w:val="1"/>
      <w:numFmt w:val="bullet"/>
      <w:lvlText w:val="o"/>
      <w:lvlJc w:val="left"/>
      <w:pPr>
        <w:ind w:left="5760" w:hanging="360"/>
      </w:pPr>
      <w:rPr>
        <w:rFonts w:hint="default" w:ascii="Courier New" w:hAnsi="Courier New"/>
      </w:rPr>
    </w:lvl>
    <w:lvl w:ilvl="8" w:tplc="566618E6">
      <w:start w:val="1"/>
      <w:numFmt w:val="bullet"/>
      <w:lvlText w:val=""/>
      <w:lvlJc w:val="left"/>
      <w:pPr>
        <w:ind w:left="6480" w:hanging="360"/>
      </w:pPr>
      <w:rPr>
        <w:rFonts w:hint="default" w:ascii="Wingdings" w:hAnsi="Wingdings"/>
      </w:rPr>
    </w:lvl>
  </w:abstractNum>
  <w:abstractNum w:abstractNumId="36" w15:restartNumberingAfterBreak="0">
    <w:nsid w:val="61AF347D"/>
    <w:multiLevelType w:val="hybridMultilevel"/>
    <w:tmpl w:val="6B540D2E"/>
    <w:lvl w:ilvl="0" w:tplc="FFFFFFFF">
      <w:start w:val="1"/>
      <w:numFmt w:val="lowerLetter"/>
      <w:lvlText w:val="%1)"/>
      <w:lvlJc w:val="left"/>
      <w:pPr>
        <w:ind w:left="502" w:hanging="360"/>
      </w:pPr>
      <w:rPr>
        <w:b/>
        <w:bCs w:val="0"/>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37" w15:restartNumberingAfterBreak="0">
    <w:nsid w:val="61B52CCC"/>
    <w:multiLevelType w:val="hybridMultilevel"/>
    <w:tmpl w:val="E46819E6"/>
    <w:lvl w:ilvl="0" w:tplc="FFFFFFF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6452C0AD"/>
    <w:multiLevelType w:val="hybridMultilevel"/>
    <w:tmpl w:val="FD2E50B2"/>
    <w:lvl w:ilvl="0" w:tplc="2BA26D92">
      <w:start w:val="1"/>
      <w:numFmt w:val="bullet"/>
      <w:lvlText w:val="-"/>
      <w:lvlJc w:val="left"/>
      <w:pPr>
        <w:ind w:left="720" w:hanging="360"/>
      </w:pPr>
      <w:rPr>
        <w:rFonts w:hint="default" w:ascii="Aptos" w:hAnsi="Aptos"/>
      </w:rPr>
    </w:lvl>
    <w:lvl w:ilvl="1" w:tplc="FD600A52">
      <w:start w:val="1"/>
      <w:numFmt w:val="bullet"/>
      <w:lvlText w:val="o"/>
      <w:lvlJc w:val="left"/>
      <w:pPr>
        <w:ind w:left="1440" w:hanging="360"/>
      </w:pPr>
      <w:rPr>
        <w:rFonts w:hint="default" w:ascii="Courier New" w:hAnsi="Courier New"/>
      </w:rPr>
    </w:lvl>
    <w:lvl w:ilvl="2" w:tplc="638ED00C">
      <w:start w:val="1"/>
      <w:numFmt w:val="bullet"/>
      <w:lvlText w:val=""/>
      <w:lvlJc w:val="left"/>
      <w:pPr>
        <w:ind w:left="2160" w:hanging="360"/>
      </w:pPr>
      <w:rPr>
        <w:rFonts w:hint="default" w:ascii="Wingdings" w:hAnsi="Wingdings"/>
      </w:rPr>
    </w:lvl>
    <w:lvl w:ilvl="3" w:tplc="0AACD7B0">
      <w:start w:val="1"/>
      <w:numFmt w:val="bullet"/>
      <w:lvlText w:val=""/>
      <w:lvlJc w:val="left"/>
      <w:pPr>
        <w:ind w:left="2880" w:hanging="360"/>
      </w:pPr>
      <w:rPr>
        <w:rFonts w:hint="default" w:ascii="Symbol" w:hAnsi="Symbol"/>
      </w:rPr>
    </w:lvl>
    <w:lvl w:ilvl="4" w:tplc="0C348DE0">
      <w:start w:val="1"/>
      <w:numFmt w:val="bullet"/>
      <w:lvlText w:val="o"/>
      <w:lvlJc w:val="left"/>
      <w:pPr>
        <w:ind w:left="3600" w:hanging="360"/>
      </w:pPr>
      <w:rPr>
        <w:rFonts w:hint="default" w:ascii="Courier New" w:hAnsi="Courier New"/>
      </w:rPr>
    </w:lvl>
    <w:lvl w:ilvl="5" w:tplc="69E4BAC4">
      <w:start w:val="1"/>
      <w:numFmt w:val="bullet"/>
      <w:lvlText w:val=""/>
      <w:lvlJc w:val="left"/>
      <w:pPr>
        <w:ind w:left="4320" w:hanging="360"/>
      </w:pPr>
      <w:rPr>
        <w:rFonts w:hint="default" w:ascii="Wingdings" w:hAnsi="Wingdings"/>
      </w:rPr>
    </w:lvl>
    <w:lvl w:ilvl="6" w:tplc="82EE859A">
      <w:start w:val="1"/>
      <w:numFmt w:val="bullet"/>
      <w:lvlText w:val=""/>
      <w:lvlJc w:val="left"/>
      <w:pPr>
        <w:ind w:left="5040" w:hanging="360"/>
      </w:pPr>
      <w:rPr>
        <w:rFonts w:hint="default" w:ascii="Symbol" w:hAnsi="Symbol"/>
      </w:rPr>
    </w:lvl>
    <w:lvl w:ilvl="7" w:tplc="EFF4009E">
      <w:start w:val="1"/>
      <w:numFmt w:val="bullet"/>
      <w:lvlText w:val="o"/>
      <w:lvlJc w:val="left"/>
      <w:pPr>
        <w:ind w:left="5760" w:hanging="360"/>
      </w:pPr>
      <w:rPr>
        <w:rFonts w:hint="default" w:ascii="Courier New" w:hAnsi="Courier New"/>
      </w:rPr>
    </w:lvl>
    <w:lvl w:ilvl="8" w:tplc="FB021F60">
      <w:start w:val="1"/>
      <w:numFmt w:val="bullet"/>
      <w:lvlText w:val=""/>
      <w:lvlJc w:val="left"/>
      <w:pPr>
        <w:ind w:left="6480" w:hanging="360"/>
      </w:pPr>
      <w:rPr>
        <w:rFonts w:hint="default" w:ascii="Wingdings" w:hAnsi="Wingdings"/>
      </w:rPr>
    </w:lvl>
  </w:abstractNum>
  <w:abstractNum w:abstractNumId="39" w15:restartNumberingAfterBreak="0">
    <w:nsid w:val="6CB830B3"/>
    <w:multiLevelType w:val="multilevel"/>
    <w:tmpl w:val="25A6BE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6D6A3760"/>
    <w:multiLevelType w:val="hybridMultilevel"/>
    <w:tmpl w:val="5B764C3E"/>
    <w:lvl w:ilvl="0" w:tplc="580A0015">
      <w:start w:val="1"/>
      <w:numFmt w:val="upperLetter"/>
      <w:lvlText w:val="%1."/>
      <w:lvlJc w:val="left"/>
      <w:pPr>
        <w:ind w:left="720" w:hanging="360"/>
      </w:p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41" w15:restartNumberingAfterBreak="0">
    <w:nsid w:val="70EB2913"/>
    <w:multiLevelType w:val="multilevel"/>
    <w:tmpl w:val="DE586D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723E7F0C"/>
    <w:multiLevelType w:val="multilevel"/>
    <w:tmpl w:val="8960CEC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41F2514"/>
    <w:multiLevelType w:val="multilevel"/>
    <w:tmpl w:val="48D6C4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4" w15:restartNumberingAfterBreak="0">
    <w:nsid w:val="76B25C08"/>
    <w:multiLevelType w:val="hybridMultilevel"/>
    <w:tmpl w:val="B39E4460"/>
    <w:lvl w:ilvl="0" w:tplc="9516DDD2">
      <w:start w:val="1"/>
      <w:numFmt w:val="upperLetter"/>
      <w:lvlText w:val="%1."/>
      <w:lvlJc w:val="left"/>
      <w:pPr>
        <w:ind w:left="720" w:hanging="360"/>
      </w:pPr>
      <w:rPr>
        <w:b/>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5" w15:restartNumberingAfterBreak="0">
    <w:nsid w:val="7C8672BC"/>
    <w:multiLevelType w:val="multilevel"/>
    <w:tmpl w:val="D6C4DA7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7D770DA3"/>
    <w:multiLevelType w:val="hybridMultilevel"/>
    <w:tmpl w:val="67C45392"/>
    <w:lvl w:ilvl="0" w:tplc="A29A763C">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7" w15:restartNumberingAfterBreak="0">
    <w:nsid w:val="7F3737BB"/>
    <w:multiLevelType w:val="hybridMultilevel"/>
    <w:tmpl w:val="A3685DC0"/>
    <w:lvl w:ilvl="0" w:tplc="FFFFFFFF">
      <w:start w:val="1"/>
      <w:numFmt w:val="bullet"/>
      <w:lvlText w:val=""/>
      <w:lvlJc w:val="left"/>
      <w:pPr>
        <w:tabs>
          <w:tab w:val="num" w:pos="720"/>
        </w:tabs>
        <w:ind w:left="720" w:hanging="360"/>
      </w:pPr>
      <w:rPr>
        <w:rFonts w:hint="default" w:ascii="Symbol" w:hAnsi="Symbol"/>
      </w:rPr>
    </w:lvl>
    <w:lvl w:ilvl="1" w:tplc="D03E5252" w:tentative="1">
      <w:start w:val="1"/>
      <w:numFmt w:val="bullet"/>
      <w:lvlText w:val=""/>
      <w:lvlJc w:val="left"/>
      <w:pPr>
        <w:tabs>
          <w:tab w:val="num" w:pos="1440"/>
        </w:tabs>
        <w:ind w:left="1440" w:hanging="360"/>
      </w:pPr>
      <w:rPr>
        <w:rFonts w:hint="default" w:ascii="Symbol" w:hAnsi="Symbol"/>
      </w:rPr>
    </w:lvl>
    <w:lvl w:ilvl="2" w:tplc="AD88C506" w:tentative="1">
      <w:start w:val="1"/>
      <w:numFmt w:val="bullet"/>
      <w:lvlText w:val=""/>
      <w:lvlJc w:val="left"/>
      <w:pPr>
        <w:tabs>
          <w:tab w:val="num" w:pos="2160"/>
        </w:tabs>
        <w:ind w:left="2160" w:hanging="360"/>
      </w:pPr>
      <w:rPr>
        <w:rFonts w:hint="default" w:ascii="Symbol" w:hAnsi="Symbol"/>
      </w:rPr>
    </w:lvl>
    <w:lvl w:ilvl="3" w:tplc="03005FAE" w:tentative="1">
      <w:start w:val="1"/>
      <w:numFmt w:val="bullet"/>
      <w:lvlText w:val=""/>
      <w:lvlJc w:val="left"/>
      <w:pPr>
        <w:tabs>
          <w:tab w:val="num" w:pos="2880"/>
        </w:tabs>
        <w:ind w:left="2880" w:hanging="360"/>
      </w:pPr>
      <w:rPr>
        <w:rFonts w:hint="default" w:ascii="Symbol" w:hAnsi="Symbol"/>
      </w:rPr>
    </w:lvl>
    <w:lvl w:ilvl="4" w:tplc="1EBA1F80" w:tentative="1">
      <w:start w:val="1"/>
      <w:numFmt w:val="bullet"/>
      <w:lvlText w:val=""/>
      <w:lvlJc w:val="left"/>
      <w:pPr>
        <w:tabs>
          <w:tab w:val="num" w:pos="3600"/>
        </w:tabs>
        <w:ind w:left="3600" w:hanging="360"/>
      </w:pPr>
      <w:rPr>
        <w:rFonts w:hint="default" w:ascii="Symbol" w:hAnsi="Symbol"/>
      </w:rPr>
    </w:lvl>
    <w:lvl w:ilvl="5" w:tplc="D3E0D918" w:tentative="1">
      <w:start w:val="1"/>
      <w:numFmt w:val="bullet"/>
      <w:lvlText w:val=""/>
      <w:lvlJc w:val="left"/>
      <w:pPr>
        <w:tabs>
          <w:tab w:val="num" w:pos="4320"/>
        </w:tabs>
        <w:ind w:left="4320" w:hanging="360"/>
      </w:pPr>
      <w:rPr>
        <w:rFonts w:hint="default" w:ascii="Symbol" w:hAnsi="Symbol"/>
      </w:rPr>
    </w:lvl>
    <w:lvl w:ilvl="6" w:tplc="F53EF954" w:tentative="1">
      <w:start w:val="1"/>
      <w:numFmt w:val="bullet"/>
      <w:lvlText w:val=""/>
      <w:lvlJc w:val="left"/>
      <w:pPr>
        <w:tabs>
          <w:tab w:val="num" w:pos="5040"/>
        </w:tabs>
        <w:ind w:left="5040" w:hanging="360"/>
      </w:pPr>
      <w:rPr>
        <w:rFonts w:hint="default" w:ascii="Symbol" w:hAnsi="Symbol"/>
      </w:rPr>
    </w:lvl>
    <w:lvl w:ilvl="7" w:tplc="B2865E1C" w:tentative="1">
      <w:start w:val="1"/>
      <w:numFmt w:val="bullet"/>
      <w:lvlText w:val=""/>
      <w:lvlJc w:val="left"/>
      <w:pPr>
        <w:tabs>
          <w:tab w:val="num" w:pos="5760"/>
        </w:tabs>
        <w:ind w:left="5760" w:hanging="360"/>
      </w:pPr>
      <w:rPr>
        <w:rFonts w:hint="default" w:ascii="Symbol" w:hAnsi="Symbol"/>
      </w:rPr>
    </w:lvl>
    <w:lvl w:ilvl="8" w:tplc="C0DA1C84" w:tentative="1">
      <w:start w:val="1"/>
      <w:numFmt w:val="bullet"/>
      <w:lvlText w:val=""/>
      <w:lvlJc w:val="left"/>
      <w:pPr>
        <w:tabs>
          <w:tab w:val="num" w:pos="6480"/>
        </w:tabs>
        <w:ind w:left="6480" w:hanging="360"/>
      </w:pPr>
      <w:rPr>
        <w:rFonts w:hint="default" w:ascii="Symbol" w:hAnsi="Symbol"/>
      </w:rPr>
    </w:lvl>
  </w:abstractNum>
  <w:num w:numId="1">
    <w:abstractNumId w:val="24"/>
  </w:num>
  <w:num w:numId="2">
    <w:abstractNumId w:val="2"/>
  </w:num>
  <w:num w:numId="3">
    <w:abstractNumId w:val="35"/>
  </w:num>
  <w:num w:numId="4">
    <w:abstractNumId w:val="30"/>
  </w:num>
  <w:num w:numId="5">
    <w:abstractNumId w:val="38"/>
  </w:num>
  <w:num w:numId="6">
    <w:abstractNumId w:val="26"/>
  </w:num>
  <w:num w:numId="7">
    <w:abstractNumId w:val="11"/>
  </w:num>
  <w:num w:numId="8">
    <w:abstractNumId w:val="5"/>
  </w:num>
  <w:num w:numId="9">
    <w:abstractNumId w:val="34"/>
  </w:num>
  <w:num w:numId="10">
    <w:abstractNumId w:val="15"/>
  </w:num>
  <w:num w:numId="11">
    <w:abstractNumId w:val="0"/>
  </w:num>
  <w:num w:numId="12">
    <w:abstractNumId w:val="32"/>
  </w:num>
  <w:num w:numId="13">
    <w:abstractNumId w:val="1"/>
  </w:num>
  <w:num w:numId="14">
    <w:abstractNumId w:val="40"/>
  </w:num>
  <w:num w:numId="15">
    <w:abstractNumId w:val="9"/>
  </w:num>
  <w:num w:numId="16">
    <w:abstractNumId w:val="8"/>
  </w:num>
  <w:num w:numId="17">
    <w:abstractNumId w:val="18"/>
  </w:num>
  <w:num w:numId="18">
    <w:abstractNumId w:val="45"/>
  </w:num>
  <w:num w:numId="19">
    <w:abstractNumId w:val="7"/>
  </w:num>
  <w:num w:numId="20">
    <w:abstractNumId w:val="21"/>
  </w:num>
  <w:num w:numId="21">
    <w:abstractNumId w:val="3"/>
  </w:num>
  <w:num w:numId="22">
    <w:abstractNumId w:val="25"/>
  </w:num>
  <w:num w:numId="23">
    <w:abstractNumId w:val="23"/>
  </w:num>
  <w:num w:numId="24">
    <w:abstractNumId w:val="27"/>
  </w:num>
  <w:num w:numId="25">
    <w:abstractNumId w:val="19"/>
  </w:num>
  <w:num w:numId="2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14"/>
  </w:num>
  <w:num w:numId="29">
    <w:abstractNumId w:val="12"/>
  </w:num>
  <w:num w:numId="30">
    <w:abstractNumId w:val="37"/>
  </w:num>
  <w:num w:numId="31">
    <w:abstractNumId w:val="4"/>
  </w:num>
  <w:num w:numId="32">
    <w:abstractNumId w:val="29"/>
  </w:num>
  <w:num w:numId="33">
    <w:abstractNumId w:val="6"/>
  </w:num>
  <w:num w:numId="34">
    <w:abstractNumId w:val="31"/>
  </w:num>
  <w:num w:numId="35">
    <w:abstractNumId w:val="20"/>
  </w:num>
  <w:num w:numId="36">
    <w:abstractNumId w:val="41"/>
  </w:num>
  <w:num w:numId="37">
    <w:abstractNumId w:val="10"/>
  </w:num>
  <w:num w:numId="38">
    <w:abstractNumId w:val="16"/>
  </w:num>
  <w:num w:numId="39">
    <w:abstractNumId w:val="33"/>
  </w:num>
  <w:num w:numId="40">
    <w:abstractNumId w:val="47"/>
  </w:num>
  <w:num w:numId="41">
    <w:abstractNumId w:val="13"/>
  </w:num>
  <w:num w:numId="42">
    <w:abstractNumId w:val="43"/>
  </w:num>
  <w:num w:numId="43">
    <w:abstractNumId w:val="42"/>
  </w:num>
  <w:num w:numId="44">
    <w:abstractNumId w:val="22"/>
  </w:num>
  <w:num w:numId="45">
    <w:abstractNumId w:val="39"/>
  </w:num>
  <w:num w:numId="46">
    <w:abstractNumId w:val="46"/>
  </w:num>
  <w:num w:numId="47">
    <w:abstractNumId w:val="17"/>
  </w:num>
  <w:num w:numId="48">
    <w:abstractNumId w:val="28"/>
  </w:num>
  <w:numIdMacAtCleanup w:val="16"/>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30"/>
  <w:activeWritingStyle w:lang="en-US" w:vendorID="64" w:dllVersion="131078" w:nlCheck="1" w:checkStyle="1" w:appName="MSWord"/>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0C83"/>
    <w:rsid w:val="0000056C"/>
    <w:rsid w:val="000010A9"/>
    <w:rsid w:val="000126EA"/>
    <w:rsid w:val="0001731D"/>
    <w:rsid w:val="00017C60"/>
    <w:rsid w:val="00021F6D"/>
    <w:rsid w:val="0002521B"/>
    <w:rsid w:val="00027B40"/>
    <w:rsid w:val="000357FF"/>
    <w:rsid w:val="00037A1A"/>
    <w:rsid w:val="00040683"/>
    <w:rsid w:val="000427DD"/>
    <w:rsid w:val="00043EBC"/>
    <w:rsid w:val="0004455D"/>
    <w:rsid w:val="00046C3D"/>
    <w:rsid w:val="00047CEB"/>
    <w:rsid w:val="000507D4"/>
    <w:rsid w:val="00055491"/>
    <w:rsid w:val="00055683"/>
    <w:rsid w:val="0005780E"/>
    <w:rsid w:val="00057924"/>
    <w:rsid w:val="00060E8B"/>
    <w:rsid w:val="0006273B"/>
    <w:rsid w:val="00072514"/>
    <w:rsid w:val="00072A3B"/>
    <w:rsid w:val="00073D18"/>
    <w:rsid w:val="0007668E"/>
    <w:rsid w:val="000839A4"/>
    <w:rsid w:val="00083F33"/>
    <w:rsid w:val="000847A2"/>
    <w:rsid w:val="000871CC"/>
    <w:rsid w:val="0008736B"/>
    <w:rsid w:val="0008747C"/>
    <w:rsid w:val="0009764C"/>
    <w:rsid w:val="000A12ED"/>
    <w:rsid w:val="000A2898"/>
    <w:rsid w:val="000A76AB"/>
    <w:rsid w:val="000A7987"/>
    <w:rsid w:val="000A7CE9"/>
    <w:rsid w:val="000B49EC"/>
    <w:rsid w:val="000B7DFD"/>
    <w:rsid w:val="000C478E"/>
    <w:rsid w:val="000C7339"/>
    <w:rsid w:val="000D0490"/>
    <w:rsid w:val="000D098B"/>
    <w:rsid w:val="000D1A1D"/>
    <w:rsid w:val="000D545D"/>
    <w:rsid w:val="000D552A"/>
    <w:rsid w:val="000D5991"/>
    <w:rsid w:val="000D5DBD"/>
    <w:rsid w:val="000D5FEC"/>
    <w:rsid w:val="000E1A22"/>
    <w:rsid w:val="000E509D"/>
    <w:rsid w:val="000F1048"/>
    <w:rsid w:val="000F14E9"/>
    <w:rsid w:val="000F35F4"/>
    <w:rsid w:val="00103525"/>
    <w:rsid w:val="00103E64"/>
    <w:rsid w:val="00105130"/>
    <w:rsid w:val="0011295A"/>
    <w:rsid w:val="00117C21"/>
    <w:rsid w:val="00121018"/>
    <w:rsid w:val="00133CB7"/>
    <w:rsid w:val="0014240C"/>
    <w:rsid w:val="001428CA"/>
    <w:rsid w:val="00143891"/>
    <w:rsid w:val="001440BD"/>
    <w:rsid w:val="00145AA4"/>
    <w:rsid w:val="00147109"/>
    <w:rsid w:val="00150D92"/>
    <w:rsid w:val="001513D9"/>
    <w:rsid w:val="00153700"/>
    <w:rsid w:val="00153B74"/>
    <w:rsid w:val="00153CB8"/>
    <w:rsid w:val="00153DB3"/>
    <w:rsid w:val="00156011"/>
    <w:rsid w:val="00160FBA"/>
    <w:rsid w:val="0017327D"/>
    <w:rsid w:val="001733A5"/>
    <w:rsid w:val="001751B6"/>
    <w:rsid w:val="00176CE5"/>
    <w:rsid w:val="00177227"/>
    <w:rsid w:val="001815EA"/>
    <w:rsid w:val="0018627A"/>
    <w:rsid w:val="001865D9"/>
    <w:rsid w:val="001A48DA"/>
    <w:rsid w:val="001A7DB0"/>
    <w:rsid w:val="001B7385"/>
    <w:rsid w:val="001C2DF7"/>
    <w:rsid w:val="001C3FFC"/>
    <w:rsid w:val="001D0535"/>
    <w:rsid w:val="001D12AA"/>
    <w:rsid w:val="001E1E73"/>
    <w:rsid w:val="001E1F29"/>
    <w:rsid w:val="001F36C8"/>
    <w:rsid w:val="001F45C6"/>
    <w:rsid w:val="001F5B98"/>
    <w:rsid w:val="001F6658"/>
    <w:rsid w:val="001F7EA8"/>
    <w:rsid w:val="0020420E"/>
    <w:rsid w:val="00206BE9"/>
    <w:rsid w:val="00217503"/>
    <w:rsid w:val="00220103"/>
    <w:rsid w:val="00220326"/>
    <w:rsid w:val="00224D01"/>
    <w:rsid w:val="002279E3"/>
    <w:rsid w:val="00230DE6"/>
    <w:rsid w:val="00231581"/>
    <w:rsid w:val="00232A78"/>
    <w:rsid w:val="00232AE1"/>
    <w:rsid w:val="002357F9"/>
    <w:rsid w:val="0024459E"/>
    <w:rsid w:val="00244BB1"/>
    <w:rsid w:val="0024796A"/>
    <w:rsid w:val="00247B53"/>
    <w:rsid w:val="0025061D"/>
    <w:rsid w:val="002524FB"/>
    <w:rsid w:val="00254187"/>
    <w:rsid w:val="00260F0C"/>
    <w:rsid w:val="0026141C"/>
    <w:rsid w:val="00263E26"/>
    <w:rsid w:val="002668BC"/>
    <w:rsid w:val="002673E5"/>
    <w:rsid w:val="00267AD4"/>
    <w:rsid w:val="00272F47"/>
    <w:rsid w:val="00273DFC"/>
    <w:rsid w:val="002746AF"/>
    <w:rsid w:val="00275412"/>
    <w:rsid w:val="00276D79"/>
    <w:rsid w:val="00277BAF"/>
    <w:rsid w:val="00280689"/>
    <w:rsid w:val="00281D97"/>
    <w:rsid w:val="0028344F"/>
    <w:rsid w:val="002840E9"/>
    <w:rsid w:val="002845C4"/>
    <w:rsid w:val="0028675C"/>
    <w:rsid w:val="002903D5"/>
    <w:rsid w:val="00294F11"/>
    <w:rsid w:val="002A2640"/>
    <w:rsid w:val="002A6E5B"/>
    <w:rsid w:val="002B13C1"/>
    <w:rsid w:val="002B7D51"/>
    <w:rsid w:val="002C19BB"/>
    <w:rsid w:val="002C7A72"/>
    <w:rsid w:val="002D339A"/>
    <w:rsid w:val="002D4740"/>
    <w:rsid w:val="002D58C4"/>
    <w:rsid w:val="002E5B23"/>
    <w:rsid w:val="002F0C83"/>
    <w:rsid w:val="002F24BA"/>
    <w:rsid w:val="002F59CD"/>
    <w:rsid w:val="002F5CF5"/>
    <w:rsid w:val="002F6490"/>
    <w:rsid w:val="002F68EE"/>
    <w:rsid w:val="00303F72"/>
    <w:rsid w:val="003101A8"/>
    <w:rsid w:val="003113BD"/>
    <w:rsid w:val="003123ED"/>
    <w:rsid w:val="00313BA9"/>
    <w:rsid w:val="0031638C"/>
    <w:rsid w:val="00316EF2"/>
    <w:rsid w:val="0032505C"/>
    <w:rsid w:val="003260AD"/>
    <w:rsid w:val="00326501"/>
    <w:rsid w:val="00331121"/>
    <w:rsid w:val="003331D7"/>
    <w:rsid w:val="00335D22"/>
    <w:rsid w:val="00336397"/>
    <w:rsid w:val="003375A1"/>
    <w:rsid w:val="00340193"/>
    <w:rsid w:val="003410A8"/>
    <w:rsid w:val="00342E57"/>
    <w:rsid w:val="00344611"/>
    <w:rsid w:val="0034599D"/>
    <w:rsid w:val="00346093"/>
    <w:rsid w:val="00350677"/>
    <w:rsid w:val="00353852"/>
    <w:rsid w:val="003571F7"/>
    <w:rsid w:val="00364F22"/>
    <w:rsid w:val="00370566"/>
    <w:rsid w:val="00372C12"/>
    <w:rsid w:val="00376901"/>
    <w:rsid w:val="003837C9"/>
    <w:rsid w:val="0038485B"/>
    <w:rsid w:val="00390548"/>
    <w:rsid w:val="003A3943"/>
    <w:rsid w:val="003B0D9E"/>
    <w:rsid w:val="003B1CEF"/>
    <w:rsid w:val="003B290F"/>
    <w:rsid w:val="003B2A6F"/>
    <w:rsid w:val="003B2BF5"/>
    <w:rsid w:val="003B65D2"/>
    <w:rsid w:val="003B6978"/>
    <w:rsid w:val="003C5674"/>
    <w:rsid w:val="003D0ADA"/>
    <w:rsid w:val="003D751B"/>
    <w:rsid w:val="003E0E01"/>
    <w:rsid w:val="003E41D9"/>
    <w:rsid w:val="003E45DD"/>
    <w:rsid w:val="003F0830"/>
    <w:rsid w:val="003F5324"/>
    <w:rsid w:val="003F536D"/>
    <w:rsid w:val="003F691B"/>
    <w:rsid w:val="00403EA8"/>
    <w:rsid w:val="004040F4"/>
    <w:rsid w:val="004127A0"/>
    <w:rsid w:val="00415346"/>
    <w:rsid w:val="00421838"/>
    <w:rsid w:val="004268BA"/>
    <w:rsid w:val="00426E3E"/>
    <w:rsid w:val="00427589"/>
    <w:rsid w:val="00436EF4"/>
    <w:rsid w:val="00437F57"/>
    <w:rsid w:val="00443581"/>
    <w:rsid w:val="00447400"/>
    <w:rsid w:val="004530AC"/>
    <w:rsid w:val="00453C78"/>
    <w:rsid w:val="004540E3"/>
    <w:rsid w:val="00456D54"/>
    <w:rsid w:val="00460FB0"/>
    <w:rsid w:val="0046292F"/>
    <w:rsid w:val="00471E1A"/>
    <w:rsid w:val="00473FED"/>
    <w:rsid w:val="004744DA"/>
    <w:rsid w:val="00475049"/>
    <w:rsid w:val="00482731"/>
    <w:rsid w:val="00482BCB"/>
    <w:rsid w:val="00483F84"/>
    <w:rsid w:val="00486E2A"/>
    <w:rsid w:val="00487964"/>
    <w:rsid w:val="00495AC5"/>
    <w:rsid w:val="004965A3"/>
    <w:rsid w:val="004A3F07"/>
    <w:rsid w:val="004AF3ED"/>
    <w:rsid w:val="004B3696"/>
    <w:rsid w:val="004C015C"/>
    <w:rsid w:val="004C1C09"/>
    <w:rsid w:val="004C27F4"/>
    <w:rsid w:val="004C68F4"/>
    <w:rsid w:val="004D69A3"/>
    <w:rsid w:val="004D79E0"/>
    <w:rsid w:val="004E0758"/>
    <w:rsid w:val="004E0BB6"/>
    <w:rsid w:val="004E1F85"/>
    <w:rsid w:val="004E3C7F"/>
    <w:rsid w:val="004F5AA5"/>
    <w:rsid w:val="005019AB"/>
    <w:rsid w:val="0050325D"/>
    <w:rsid w:val="00504F56"/>
    <w:rsid w:val="00505C9A"/>
    <w:rsid w:val="00514860"/>
    <w:rsid w:val="0051524F"/>
    <w:rsid w:val="005215BE"/>
    <w:rsid w:val="0052670A"/>
    <w:rsid w:val="00531D06"/>
    <w:rsid w:val="005347E2"/>
    <w:rsid w:val="00536270"/>
    <w:rsid w:val="00536C72"/>
    <w:rsid w:val="0054165C"/>
    <w:rsid w:val="005428B6"/>
    <w:rsid w:val="005441A5"/>
    <w:rsid w:val="005445CF"/>
    <w:rsid w:val="005450CA"/>
    <w:rsid w:val="0054611F"/>
    <w:rsid w:val="005562C5"/>
    <w:rsid w:val="00556D77"/>
    <w:rsid w:val="00556EE7"/>
    <w:rsid w:val="00557A4E"/>
    <w:rsid w:val="00560565"/>
    <w:rsid w:val="005612C2"/>
    <w:rsid w:val="00563C2F"/>
    <w:rsid w:val="0056536B"/>
    <w:rsid w:val="00566A62"/>
    <w:rsid w:val="00567FEF"/>
    <w:rsid w:val="00580421"/>
    <w:rsid w:val="00580B70"/>
    <w:rsid w:val="00582115"/>
    <w:rsid w:val="005903B9"/>
    <w:rsid w:val="00590F6B"/>
    <w:rsid w:val="00594D40"/>
    <w:rsid w:val="005971F8"/>
    <w:rsid w:val="005A12AE"/>
    <w:rsid w:val="005A2B4F"/>
    <w:rsid w:val="005A6031"/>
    <w:rsid w:val="005B00C1"/>
    <w:rsid w:val="005B156B"/>
    <w:rsid w:val="005B191E"/>
    <w:rsid w:val="005B1D7A"/>
    <w:rsid w:val="005B2062"/>
    <w:rsid w:val="005B3BAD"/>
    <w:rsid w:val="005B42A7"/>
    <w:rsid w:val="005B56AC"/>
    <w:rsid w:val="005C1F43"/>
    <w:rsid w:val="005C35B8"/>
    <w:rsid w:val="005C5BA9"/>
    <w:rsid w:val="005C5EF2"/>
    <w:rsid w:val="005C628D"/>
    <w:rsid w:val="005C6E12"/>
    <w:rsid w:val="005D3FA9"/>
    <w:rsid w:val="005D6EA0"/>
    <w:rsid w:val="005D6F02"/>
    <w:rsid w:val="005D76F4"/>
    <w:rsid w:val="005E5864"/>
    <w:rsid w:val="005E5FF3"/>
    <w:rsid w:val="005E7752"/>
    <w:rsid w:val="005F5022"/>
    <w:rsid w:val="005F5CBF"/>
    <w:rsid w:val="005F7ADC"/>
    <w:rsid w:val="00601535"/>
    <w:rsid w:val="006048C3"/>
    <w:rsid w:val="006101DA"/>
    <w:rsid w:val="00615E3B"/>
    <w:rsid w:val="00622459"/>
    <w:rsid w:val="00625131"/>
    <w:rsid w:val="00647108"/>
    <w:rsid w:val="0064DDE1"/>
    <w:rsid w:val="00657847"/>
    <w:rsid w:val="00660E6F"/>
    <w:rsid w:val="006648CF"/>
    <w:rsid w:val="006711CE"/>
    <w:rsid w:val="00673050"/>
    <w:rsid w:val="006741D1"/>
    <w:rsid w:val="00676018"/>
    <w:rsid w:val="00680671"/>
    <w:rsid w:val="00680EE6"/>
    <w:rsid w:val="00682F61"/>
    <w:rsid w:val="00685B91"/>
    <w:rsid w:val="0069213A"/>
    <w:rsid w:val="0069538B"/>
    <w:rsid w:val="006A0836"/>
    <w:rsid w:val="006A405B"/>
    <w:rsid w:val="006A51E7"/>
    <w:rsid w:val="006B177E"/>
    <w:rsid w:val="006C3083"/>
    <w:rsid w:val="006C420E"/>
    <w:rsid w:val="006C4CA9"/>
    <w:rsid w:val="006C5221"/>
    <w:rsid w:val="006C6876"/>
    <w:rsid w:val="006D0C56"/>
    <w:rsid w:val="006D517C"/>
    <w:rsid w:val="006D72C0"/>
    <w:rsid w:val="006E1471"/>
    <w:rsid w:val="006E5A48"/>
    <w:rsid w:val="006E7E78"/>
    <w:rsid w:val="006F41EE"/>
    <w:rsid w:val="00704599"/>
    <w:rsid w:val="00707AD6"/>
    <w:rsid w:val="00713DED"/>
    <w:rsid w:val="0071690D"/>
    <w:rsid w:val="00721108"/>
    <w:rsid w:val="0073017C"/>
    <w:rsid w:val="00731B2D"/>
    <w:rsid w:val="00733454"/>
    <w:rsid w:val="00734A46"/>
    <w:rsid w:val="007379DA"/>
    <w:rsid w:val="0074063B"/>
    <w:rsid w:val="007411BA"/>
    <w:rsid w:val="007415C5"/>
    <w:rsid w:val="007437EE"/>
    <w:rsid w:val="0074469E"/>
    <w:rsid w:val="00744823"/>
    <w:rsid w:val="007466B2"/>
    <w:rsid w:val="0075056D"/>
    <w:rsid w:val="00751C16"/>
    <w:rsid w:val="00752661"/>
    <w:rsid w:val="00754162"/>
    <w:rsid w:val="007578CB"/>
    <w:rsid w:val="007643E7"/>
    <w:rsid w:val="00775C71"/>
    <w:rsid w:val="007808B5"/>
    <w:rsid w:val="007809A6"/>
    <w:rsid w:val="007826D1"/>
    <w:rsid w:val="00783A12"/>
    <w:rsid w:val="00785096"/>
    <w:rsid w:val="00785DDB"/>
    <w:rsid w:val="0078660D"/>
    <w:rsid w:val="007878F0"/>
    <w:rsid w:val="0079024A"/>
    <w:rsid w:val="00791D88"/>
    <w:rsid w:val="00793EA3"/>
    <w:rsid w:val="0079579D"/>
    <w:rsid w:val="007A5461"/>
    <w:rsid w:val="007C06A8"/>
    <w:rsid w:val="007C4F08"/>
    <w:rsid w:val="007C5950"/>
    <w:rsid w:val="007C74A7"/>
    <w:rsid w:val="007D116C"/>
    <w:rsid w:val="007D1645"/>
    <w:rsid w:val="007E45A3"/>
    <w:rsid w:val="007F08C3"/>
    <w:rsid w:val="007F2EA6"/>
    <w:rsid w:val="007F6074"/>
    <w:rsid w:val="00803236"/>
    <w:rsid w:val="0080360C"/>
    <w:rsid w:val="0080520C"/>
    <w:rsid w:val="00826487"/>
    <w:rsid w:val="00831FB8"/>
    <w:rsid w:val="00840D60"/>
    <w:rsid w:val="00851144"/>
    <w:rsid w:val="00852BA2"/>
    <w:rsid w:val="008534A6"/>
    <w:rsid w:val="0085412D"/>
    <w:rsid w:val="008560CC"/>
    <w:rsid w:val="00860A2E"/>
    <w:rsid w:val="0086546D"/>
    <w:rsid w:val="00865CF1"/>
    <w:rsid w:val="00866737"/>
    <w:rsid w:val="00872ADB"/>
    <w:rsid w:val="008752E4"/>
    <w:rsid w:val="00885169"/>
    <w:rsid w:val="00886B22"/>
    <w:rsid w:val="00887C95"/>
    <w:rsid w:val="00897B57"/>
    <w:rsid w:val="008A0E81"/>
    <w:rsid w:val="008A2729"/>
    <w:rsid w:val="008A29F2"/>
    <w:rsid w:val="008A2CE0"/>
    <w:rsid w:val="008A38AA"/>
    <w:rsid w:val="008A3F0E"/>
    <w:rsid w:val="008A67C1"/>
    <w:rsid w:val="008C055C"/>
    <w:rsid w:val="008C2B3C"/>
    <w:rsid w:val="008C35D2"/>
    <w:rsid w:val="008C561C"/>
    <w:rsid w:val="008D49C4"/>
    <w:rsid w:val="008D5625"/>
    <w:rsid w:val="008E0123"/>
    <w:rsid w:val="008E3252"/>
    <w:rsid w:val="008E4FC8"/>
    <w:rsid w:val="008E51DB"/>
    <w:rsid w:val="008E6795"/>
    <w:rsid w:val="008F4154"/>
    <w:rsid w:val="008F4214"/>
    <w:rsid w:val="008F5F7E"/>
    <w:rsid w:val="00903668"/>
    <w:rsid w:val="00904AE9"/>
    <w:rsid w:val="00906DD0"/>
    <w:rsid w:val="00907A10"/>
    <w:rsid w:val="0091134B"/>
    <w:rsid w:val="00911995"/>
    <w:rsid w:val="009130BE"/>
    <w:rsid w:val="00913D74"/>
    <w:rsid w:val="0092732E"/>
    <w:rsid w:val="0092734C"/>
    <w:rsid w:val="009316EA"/>
    <w:rsid w:val="00941066"/>
    <w:rsid w:val="00945A7C"/>
    <w:rsid w:val="00945C43"/>
    <w:rsid w:val="00946356"/>
    <w:rsid w:val="00950196"/>
    <w:rsid w:val="009511CD"/>
    <w:rsid w:val="009558FF"/>
    <w:rsid w:val="00962A7E"/>
    <w:rsid w:val="00964AEA"/>
    <w:rsid w:val="00964CBC"/>
    <w:rsid w:val="00964ED1"/>
    <w:rsid w:val="009667E5"/>
    <w:rsid w:val="00970A4A"/>
    <w:rsid w:val="00976122"/>
    <w:rsid w:val="00977035"/>
    <w:rsid w:val="00980B02"/>
    <w:rsid w:val="00980F13"/>
    <w:rsid w:val="00983FF5"/>
    <w:rsid w:val="00984185"/>
    <w:rsid w:val="00992EDA"/>
    <w:rsid w:val="00997F4A"/>
    <w:rsid w:val="009A0BAA"/>
    <w:rsid w:val="009A1526"/>
    <w:rsid w:val="009A18A9"/>
    <w:rsid w:val="009A2F69"/>
    <w:rsid w:val="009A4127"/>
    <w:rsid w:val="009B533C"/>
    <w:rsid w:val="009B6215"/>
    <w:rsid w:val="009C4BDA"/>
    <w:rsid w:val="009D1D3C"/>
    <w:rsid w:val="009D4F85"/>
    <w:rsid w:val="009E1E0E"/>
    <w:rsid w:val="009E2963"/>
    <w:rsid w:val="009E3CA2"/>
    <w:rsid w:val="009E49A0"/>
    <w:rsid w:val="009E6292"/>
    <w:rsid w:val="009F08C9"/>
    <w:rsid w:val="009F149D"/>
    <w:rsid w:val="009F1912"/>
    <w:rsid w:val="009F55A5"/>
    <w:rsid w:val="00A0036F"/>
    <w:rsid w:val="00A00C61"/>
    <w:rsid w:val="00A04757"/>
    <w:rsid w:val="00A06D3F"/>
    <w:rsid w:val="00A14834"/>
    <w:rsid w:val="00A16241"/>
    <w:rsid w:val="00A17C8A"/>
    <w:rsid w:val="00A21CC2"/>
    <w:rsid w:val="00A2461C"/>
    <w:rsid w:val="00A30126"/>
    <w:rsid w:val="00A31AB3"/>
    <w:rsid w:val="00A37E12"/>
    <w:rsid w:val="00A42545"/>
    <w:rsid w:val="00A430A6"/>
    <w:rsid w:val="00A45B08"/>
    <w:rsid w:val="00A5103D"/>
    <w:rsid w:val="00A5240E"/>
    <w:rsid w:val="00A55A33"/>
    <w:rsid w:val="00A56610"/>
    <w:rsid w:val="00A56E2F"/>
    <w:rsid w:val="00A62494"/>
    <w:rsid w:val="00A648D0"/>
    <w:rsid w:val="00A71945"/>
    <w:rsid w:val="00A7513F"/>
    <w:rsid w:val="00A7784B"/>
    <w:rsid w:val="00A80F5C"/>
    <w:rsid w:val="00A81B41"/>
    <w:rsid w:val="00A822C3"/>
    <w:rsid w:val="00A86050"/>
    <w:rsid w:val="00A90358"/>
    <w:rsid w:val="00A93E85"/>
    <w:rsid w:val="00A94DA5"/>
    <w:rsid w:val="00A952A2"/>
    <w:rsid w:val="00A952F5"/>
    <w:rsid w:val="00AA4D48"/>
    <w:rsid w:val="00AA7955"/>
    <w:rsid w:val="00AB0E2C"/>
    <w:rsid w:val="00AB17C0"/>
    <w:rsid w:val="00AB2370"/>
    <w:rsid w:val="00AB3B3C"/>
    <w:rsid w:val="00AB5407"/>
    <w:rsid w:val="00AB60F9"/>
    <w:rsid w:val="00AB64D3"/>
    <w:rsid w:val="00AC0915"/>
    <w:rsid w:val="00AC3850"/>
    <w:rsid w:val="00AD0659"/>
    <w:rsid w:val="00AD27CC"/>
    <w:rsid w:val="00AD773D"/>
    <w:rsid w:val="00AE060B"/>
    <w:rsid w:val="00AE50AE"/>
    <w:rsid w:val="00B004DD"/>
    <w:rsid w:val="00B01CC0"/>
    <w:rsid w:val="00B028ED"/>
    <w:rsid w:val="00B04C90"/>
    <w:rsid w:val="00B1166B"/>
    <w:rsid w:val="00B1309D"/>
    <w:rsid w:val="00B20195"/>
    <w:rsid w:val="00B227CE"/>
    <w:rsid w:val="00B2315E"/>
    <w:rsid w:val="00B24384"/>
    <w:rsid w:val="00B24EFF"/>
    <w:rsid w:val="00B256B2"/>
    <w:rsid w:val="00B32260"/>
    <w:rsid w:val="00B33B23"/>
    <w:rsid w:val="00B40C38"/>
    <w:rsid w:val="00B418A4"/>
    <w:rsid w:val="00B42A31"/>
    <w:rsid w:val="00B47B2C"/>
    <w:rsid w:val="00B553A1"/>
    <w:rsid w:val="00B61648"/>
    <w:rsid w:val="00B62B13"/>
    <w:rsid w:val="00B63773"/>
    <w:rsid w:val="00B64546"/>
    <w:rsid w:val="00B66271"/>
    <w:rsid w:val="00B663D5"/>
    <w:rsid w:val="00B67188"/>
    <w:rsid w:val="00B6794A"/>
    <w:rsid w:val="00B7201C"/>
    <w:rsid w:val="00B72524"/>
    <w:rsid w:val="00B73675"/>
    <w:rsid w:val="00B73917"/>
    <w:rsid w:val="00B73B27"/>
    <w:rsid w:val="00B7427C"/>
    <w:rsid w:val="00B81EC9"/>
    <w:rsid w:val="00B83147"/>
    <w:rsid w:val="00B90EDD"/>
    <w:rsid w:val="00B95ED3"/>
    <w:rsid w:val="00B96129"/>
    <w:rsid w:val="00BA04FA"/>
    <w:rsid w:val="00BA16BE"/>
    <w:rsid w:val="00BA2CE4"/>
    <w:rsid w:val="00BA4085"/>
    <w:rsid w:val="00BA70E4"/>
    <w:rsid w:val="00BA70F2"/>
    <w:rsid w:val="00BA7C7C"/>
    <w:rsid w:val="00BB0C18"/>
    <w:rsid w:val="00BB6A44"/>
    <w:rsid w:val="00BB791A"/>
    <w:rsid w:val="00BB7F79"/>
    <w:rsid w:val="00BC40DD"/>
    <w:rsid w:val="00BC4C4C"/>
    <w:rsid w:val="00BC6A6F"/>
    <w:rsid w:val="00BD1C2E"/>
    <w:rsid w:val="00BD33F9"/>
    <w:rsid w:val="00BD41E6"/>
    <w:rsid w:val="00BD4DD4"/>
    <w:rsid w:val="00BE0F3D"/>
    <w:rsid w:val="00BE3307"/>
    <w:rsid w:val="00BE345E"/>
    <w:rsid w:val="00BE378C"/>
    <w:rsid w:val="00BE37CD"/>
    <w:rsid w:val="00BE50A8"/>
    <w:rsid w:val="00BE543E"/>
    <w:rsid w:val="00BE7E76"/>
    <w:rsid w:val="00BF138B"/>
    <w:rsid w:val="00BF1644"/>
    <w:rsid w:val="00BF2E2C"/>
    <w:rsid w:val="00BF3227"/>
    <w:rsid w:val="00BF5B68"/>
    <w:rsid w:val="00BF6D07"/>
    <w:rsid w:val="00BF76B6"/>
    <w:rsid w:val="00C011EB"/>
    <w:rsid w:val="00C01D4D"/>
    <w:rsid w:val="00C0208A"/>
    <w:rsid w:val="00C0594E"/>
    <w:rsid w:val="00C05B16"/>
    <w:rsid w:val="00C13FAA"/>
    <w:rsid w:val="00C14E71"/>
    <w:rsid w:val="00C15CE1"/>
    <w:rsid w:val="00C226B8"/>
    <w:rsid w:val="00C300E6"/>
    <w:rsid w:val="00C3236D"/>
    <w:rsid w:val="00C35986"/>
    <w:rsid w:val="00C44E71"/>
    <w:rsid w:val="00C52E68"/>
    <w:rsid w:val="00C57892"/>
    <w:rsid w:val="00C6298F"/>
    <w:rsid w:val="00C6651F"/>
    <w:rsid w:val="00C704AC"/>
    <w:rsid w:val="00C71639"/>
    <w:rsid w:val="00C745EF"/>
    <w:rsid w:val="00C8162D"/>
    <w:rsid w:val="00C83093"/>
    <w:rsid w:val="00C83E13"/>
    <w:rsid w:val="00C87AD3"/>
    <w:rsid w:val="00C91BE8"/>
    <w:rsid w:val="00C91E42"/>
    <w:rsid w:val="00C926CB"/>
    <w:rsid w:val="00C946A9"/>
    <w:rsid w:val="00C947A9"/>
    <w:rsid w:val="00C950C0"/>
    <w:rsid w:val="00C9544F"/>
    <w:rsid w:val="00CA00F4"/>
    <w:rsid w:val="00CA5A8C"/>
    <w:rsid w:val="00CA67C6"/>
    <w:rsid w:val="00CA7E7A"/>
    <w:rsid w:val="00CB03F1"/>
    <w:rsid w:val="00CB1745"/>
    <w:rsid w:val="00CB20FB"/>
    <w:rsid w:val="00CC08B3"/>
    <w:rsid w:val="00CC5FEA"/>
    <w:rsid w:val="00CC7485"/>
    <w:rsid w:val="00CD0196"/>
    <w:rsid w:val="00CD1E04"/>
    <w:rsid w:val="00CD1E46"/>
    <w:rsid w:val="00CD218A"/>
    <w:rsid w:val="00CD3146"/>
    <w:rsid w:val="00CD3262"/>
    <w:rsid w:val="00CE09A4"/>
    <w:rsid w:val="00CE39A1"/>
    <w:rsid w:val="00CF09DF"/>
    <w:rsid w:val="00CF3CAB"/>
    <w:rsid w:val="00CF5806"/>
    <w:rsid w:val="00CF62CF"/>
    <w:rsid w:val="00D12849"/>
    <w:rsid w:val="00D17333"/>
    <w:rsid w:val="00D212B0"/>
    <w:rsid w:val="00D30887"/>
    <w:rsid w:val="00D30CCC"/>
    <w:rsid w:val="00D3148B"/>
    <w:rsid w:val="00D324F2"/>
    <w:rsid w:val="00D3277F"/>
    <w:rsid w:val="00D364FF"/>
    <w:rsid w:val="00D36802"/>
    <w:rsid w:val="00D40589"/>
    <w:rsid w:val="00D40C86"/>
    <w:rsid w:val="00D465FC"/>
    <w:rsid w:val="00D46F5B"/>
    <w:rsid w:val="00D4729A"/>
    <w:rsid w:val="00D532FB"/>
    <w:rsid w:val="00D55A5D"/>
    <w:rsid w:val="00D57DE5"/>
    <w:rsid w:val="00D62B55"/>
    <w:rsid w:val="00D645BB"/>
    <w:rsid w:val="00D65D5E"/>
    <w:rsid w:val="00D666A0"/>
    <w:rsid w:val="00D707E2"/>
    <w:rsid w:val="00D70906"/>
    <w:rsid w:val="00D71A0A"/>
    <w:rsid w:val="00D74F4E"/>
    <w:rsid w:val="00D8138C"/>
    <w:rsid w:val="00D86FE0"/>
    <w:rsid w:val="00D9221E"/>
    <w:rsid w:val="00D930A5"/>
    <w:rsid w:val="00D94EDC"/>
    <w:rsid w:val="00D951B8"/>
    <w:rsid w:val="00DA3210"/>
    <w:rsid w:val="00DA7430"/>
    <w:rsid w:val="00DA7474"/>
    <w:rsid w:val="00DA7A91"/>
    <w:rsid w:val="00DB0D96"/>
    <w:rsid w:val="00DC39F6"/>
    <w:rsid w:val="00DC6865"/>
    <w:rsid w:val="00DCF379"/>
    <w:rsid w:val="00DD0C7F"/>
    <w:rsid w:val="00DD43EA"/>
    <w:rsid w:val="00DD6384"/>
    <w:rsid w:val="00DE1613"/>
    <w:rsid w:val="00DE319B"/>
    <w:rsid w:val="00DE487F"/>
    <w:rsid w:val="00DE6F57"/>
    <w:rsid w:val="00DE769C"/>
    <w:rsid w:val="00DF48D9"/>
    <w:rsid w:val="00DF4D4C"/>
    <w:rsid w:val="00E00BED"/>
    <w:rsid w:val="00E052F0"/>
    <w:rsid w:val="00E10EB4"/>
    <w:rsid w:val="00E133B1"/>
    <w:rsid w:val="00E13986"/>
    <w:rsid w:val="00E171DF"/>
    <w:rsid w:val="00E227E7"/>
    <w:rsid w:val="00E244B1"/>
    <w:rsid w:val="00E32493"/>
    <w:rsid w:val="00E41AF9"/>
    <w:rsid w:val="00E442F7"/>
    <w:rsid w:val="00E45B66"/>
    <w:rsid w:val="00E46341"/>
    <w:rsid w:val="00E503ED"/>
    <w:rsid w:val="00E50956"/>
    <w:rsid w:val="00E53484"/>
    <w:rsid w:val="00E56CE1"/>
    <w:rsid w:val="00E60CBB"/>
    <w:rsid w:val="00E6500C"/>
    <w:rsid w:val="00E659FD"/>
    <w:rsid w:val="00E66200"/>
    <w:rsid w:val="00E71B3D"/>
    <w:rsid w:val="00E71D5B"/>
    <w:rsid w:val="00E72D3C"/>
    <w:rsid w:val="00E76471"/>
    <w:rsid w:val="00E85366"/>
    <w:rsid w:val="00E93C1B"/>
    <w:rsid w:val="00E982CC"/>
    <w:rsid w:val="00EA3B7C"/>
    <w:rsid w:val="00EA4905"/>
    <w:rsid w:val="00EC4DF3"/>
    <w:rsid w:val="00EC7D23"/>
    <w:rsid w:val="00ED0639"/>
    <w:rsid w:val="00ED2139"/>
    <w:rsid w:val="00EE2535"/>
    <w:rsid w:val="00EF1C90"/>
    <w:rsid w:val="00EF4E35"/>
    <w:rsid w:val="00EF7898"/>
    <w:rsid w:val="00F10B08"/>
    <w:rsid w:val="00F11FFD"/>
    <w:rsid w:val="00F125DE"/>
    <w:rsid w:val="00F12D64"/>
    <w:rsid w:val="00F14313"/>
    <w:rsid w:val="00F17E57"/>
    <w:rsid w:val="00F21A9C"/>
    <w:rsid w:val="00F24FA9"/>
    <w:rsid w:val="00F275CD"/>
    <w:rsid w:val="00F27724"/>
    <w:rsid w:val="00F27FE7"/>
    <w:rsid w:val="00F301A7"/>
    <w:rsid w:val="00F3205D"/>
    <w:rsid w:val="00F32B7E"/>
    <w:rsid w:val="00F32C50"/>
    <w:rsid w:val="00F3310C"/>
    <w:rsid w:val="00F34671"/>
    <w:rsid w:val="00F34D3E"/>
    <w:rsid w:val="00F369FD"/>
    <w:rsid w:val="00F4160B"/>
    <w:rsid w:val="00F46A69"/>
    <w:rsid w:val="00F4700E"/>
    <w:rsid w:val="00F474CF"/>
    <w:rsid w:val="00F50FD0"/>
    <w:rsid w:val="00F556FE"/>
    <w:rsid w:val="00F57390"/>
    <w:rsid w:val="00F62B43"/>
    <w:rsid w:val="00F641C4"/>
    <w:rsid w:val="00F64B54"/>
    <w:rsid w:val="00F652D5"/>
    <w:rsid w:val="00F71C6D"/>
    <w:rsid w:val="00F81E08"/>
    <w:rsid w:val="00F862FC"/>
    <w:rsid w:val="00F93CE3"/>
    <w:rsid w:val="00F96F16"/>
    <w:rsid w:val="00FA2C0D"/>
    <w:rsid w:val="00FB1F3F"/>
    <w:rsid w:val="00FB76B8"/>
    <w:rsid w:val="00FC21E3"/>
    <w:rsid w:val="00FC2ADC"/>
    <w:rsid w:val="00FC46C5"/>
    <w:rsid w:val="00FC5836"/>
    <w:rsid w:val="00FC6232"/>
    <w:rsid w:val="00FC73F7"/>
    <w:rsid w:val="00FC78C5"/>
    <w:rsid w:val="00FD6D1F"/>
    <w:rsid w:val="00FE016B"/>
    <w:rsid w:val="00FE15A9"/>
    <w:rsid w:val="00FE2A6A"/>
    <w:rsid w:val="00FE47C5"/>
    <w:rsid w:val="00FE6FCA"/>
    <w:rsid w:val="00FE7D67"/>
    <w:rsid w:val="00FE7FAB"/>
    <w:rsid w:val="0189ADE3"/>
    <w:rsid w:val="01C8E6E9"/>
    <w:rsid w:val="01EE36BD"/>
    <w:rsid w:val="01F4767B"/>
    <w:rsid w:val="01FD895E"/>
    <w:rsid w:val="02428E84"/>
    <w:rsid w:val="025462EA"/>
    <w:rsid w:val="02719BF9"/>
    <w:rsid w:val="0286DD1D"/>
    <w:rsid w:val="030C088D"/>
    <w:rsid w:val="030D6576"/>
    <w:rsid w:val="03141DB7"/>
    <w:rsid w:val="036AED4E"/>
    <w:rsid w:val="037EE821"/>
    <w:rsid w:val="039CDFF9"/>
    <w:rsid w:val="03B3768A"/>
    <w:rsid w:val="03B51D04"/>
    <w:rsid w:val="03BB8CA3"/>
    <w:rsid w:val="03CEA296"/>
    <w:rsid w:val="03ECF4EF"/>
    <w:rsid w:val="03F75919"/>
    <w:rsid w:val="046DE4C2"/>
    <w:rsid w:val="046E75CA"/>
    <w:rsid w:val="0483F023"/>
    <w:rsid w:val="04B492A2"/>
    <w:rsid w:val="04C43DBA"/>
    <w:rsid w:val="055A1E27"/>
    <w:rsid w:val="05604C3B"/>
    <w:rsid w:val="0563461B"/>
    <w:rsid w:val="056BDCB8"/>
    <w:rsid w:val="057E8578"/>
    <w:rsid w:val="057EC718"/>
    <w:rsid w:val="05F6E9DF"/>
    <w:rsid w:val="0627FBA4"/>
    <w:rsid w:val="0648C087"/>
    <w:rsid w:val="06516F72"/>
    <w:rsid w:val="0658D715"/>
    <w:rsid w:val="06B2A31C"/>
    <w:rsid w:val="06CCC796"/>
    <w:rsid w:val="06E1DDE9"/>
    <w:rsid w:val="06E2838A"/>
    <w:rsid w:val="06E363E6"/>
    <w:rsid w:val="06FF6EF6"/>
    <w:rsid w:val="06FF7503"/>
    <w:rsid w:val="07297E86"/>
    <w:rsid w:val="07DC8210"/>
    <w:rsid w:val="07DF5F49"/>
    <w:rsid w:val="07ED35D3"/>
    <w:rsid w:val="07FA8488"/>
    <w:rsid w:val="081E842C"/>
    <w:rsid w:val="08A05FB9"/>
    <w:rsid w:val="08A3645B"/>
    <w:rsid w:val="08AB53EA"/>
    <w:rsid w:val="08DBB132"/>
    <w:rsid w:val="08FDEB16"/>
    <w:rsid w:val="092B1F64"/>
    <w:rsid w:val="0932C156"/>
    <w:rsid w:val="093818ED"/>
    <w:rsid w:val="0943BB69"/>
    <w:rsid w:val="0965F543"/>
    <w:rsid w:val="0966F317"/>
    <w:rsid w:val="0987AC5E"/>
    <w:rsid w:val="09B982F0"/>
    <w:rsid w:val="09C69373"/>
    <w:rsid w:val="09E7F626"/>
    <w:rsid w:val="0A15D912"/>
    <w:rsid w:val="0A308653"/>
    <w:rsid w:val="0A830237"/>
    <w:rsid w:val="0A9991E4"/>
    <w:rsid w:val="0A9FD282"/>
    <w:rsid w:val="0AA76682"/>
    <w:rsid w:val="0AAF5CC6"/>
    <w:rsid w:val="0AC99D8C"/>
    <w:rsid w:val="0AEF817E"/>
    <w:rsid w:val="0B132415"/>
    <w:rsid w:val="0B3AEB64"/>
    <w:rsid w:val="0B69BA0F"/>
    <w:rsid w:val="0B81198C"/>
    <w:rsid w:val="0B9B909B"/>
    <w:rsid w:val="0BA08200"/>
    <w:rsid w:val="0BDF9AFF"/>
    <w:rsid w:val="0BE8B500"/>
    <w:rsid w:val="0C35A6C4"/>
    <w:rsid w:val="0C3A950B"/>
    <w:rsid w:val="0C4A5C1E"/>
    <w:rsid w:val="0C699783"/>
    <w:rsid w:val="0CA18E45"/>
    <w:rsid w:val="0CBB3904"/>
    <w:rsid w:val="0CCE69E4"/>
    <w:rsid w:val="0CD01878"/>
    <w:rsid w:val="0D168031"/>
    <w:rsid w:val="0D75D065"/>
    <w:rsid w:val="0D8C3314"/>
    <w:rsid w:val="0D8F5B0B"/>
    <w:rsid w:val="0D99EB10"/>
    <w:rsid w:val="0DCE3BFC"/>
    <w:rsid w:val="0DD01D24"/>
    <w:rsid w:val="0DE3A600"/>
    <w:rsid w:val="0E145E33"/>
    <w:rsid w:val="0E55E853"/>
    <w:rsid w:val="0E6165E8"/>
    <w:rsid w:val="0E75C2B3"/>
    <w:rsid w:val="0E9F0A89"/>
    <w:rsid w:val="0ECE0B21"/>
    <w:rsid w:val="0ED3235D"/>
    <w:rsid w:val="0EDC8EE4"/>
    <w:rsid w:val="0F3F48F4"/>
    <w:rsid w:val="0F51C4A6"/>
    <w:rsid w:val="0F68DAFC"/>
    <w:rsid w:val="0F7435A4"/>
    <w:rsid w:val="0F7A61D9"/>
    <w:rsid w:val="0FD1D743"/>
    <w:rsid w:val="103C3AD9"/>
    <w:rsid w:val="103FEBC5"/>
    <w:rsid w:val="10CD9B48"/>
    <w:rsid w:val="10E18D96"/>
    <w:rsid w:val="10E86BAC"/>
    <w:rsid w:val="10F38D64"/>
    <w:rsid w:val="10F3D13C"/>
    <w:rsid w:val="11493F10"/>
    <w:rsid w:val="116EA9F6"/>
    <w:rsid w:val="1172B1BC"/>
    <w:rsid w:val="11730DDC"/>
    <w:rsid w:val="1175CB8B"/>
    <w:rsid w:val="11B010F1"/>
    <w:rsid w:val="11C25311"/>
    <w:rsid w:val="11F61223"/>
    <w:rsid w:val="1201BD91"/>
    <w:rsid w:val="120901A1"/>
    <w:rsid w:val="124FCA5A"/>
    <w:rsid w:val="128C07A5"/>
    <w:rsid w:val="12A2974D"/>
    <w:rsid w:val="12C489A0"/>
    <w:rsid w:val="12C93D90"/>
    <w:rsid w:val="12CDA4A5"/>
    <w:rsid w:val="12D4E0AA"/>
    <w:rsid w:val="12D7B564"/>
    <w:rsid w:val="12F65261"/>
    <w:rsid w:val="12FAC664"/>
    <w:rsid w:val="132AD5E6"/>
    <w:rsid w:val="1332E9D4"/>
    <w:rsid w:val="13377AC3"/>
    <w:rsid w:val="1374DF4B"/>
    <w:rsid w:val="137CC832"/>
    <w:rsid w:val="1381152C"/>
    <w:rsid w:val="13BC0056"/>
    <w:rsid w:val="13C74138"/>
    <w:rsid w:val="142314D1"/>
    <w:rsid w:val="1429B524"/>
    <w:rsid w:val="142FC7D3"/>
    <w:rsid w:val="14314FA0"/>
    <w:rsid w:val="1446499B"/>
    <w:rsid w:val="14483AC8"/>
    <w:rsid w:val="14706DAB"/>
    <w:rsid w:val="148474DF"/>
    <w:rsid w:val="14AA3832"/>
    <w:rsid w:val="14D43D20"/>
    <w:rsid w:val="14FD6D0F"/>
    <w:rsid w:val="1534BD8B"/>
    <w:rsid w:val="1568E599"/>
    <w:rsid w:val="157B0C2E"/>
    <w:rsid w:val="15A31ACE"/>
    <w:rsid w:val="15D4A48A"/>
    <w:rsid w:val="15FE1C33"/>
    <w:rsid w:val="1611CAFB"/>
    <w:rsid w:val="163F231E"/>
    <w:rsid w:val="1653524A"/>
    <w:rsid w:val="1653A2A6"/>
    <w:rsid w:val="166437FF"/>
    <w:rsid w:val="167A2004"/>
    <w:rsid w:val="1704DA32"/>
    <w:rsid w:val="17097A79"/>
    <w:rsid w:val="1718FFCC"/>
    <w:rsid w:val="17565656"/>
    <w:rsid w:val="17569A27"/>
    <w:rsid w:val="17D4DC57"/>
    <w:rsid w:val="17F29F9C"/>
    <w:rsid w:val="18159E20"/>
    <w:rsid w:val="183ABE18"/>
    <w:rsid w:val="1888DB64"/>
    <w:rsid w:val="189FD47C"/>
    <w:rsid w:val="18ABBD40"/>
    <w:rsid w:val="18BCAAF8"/>
    <w:rsid w:val="18DA06B1"/>
    <w:rsid w:val="190D1EEC"/>
    <w:rsid w:val="19232682"/>
    <w:rsid w:val="194AFFBD"/>
    <w:rsid w:val="196C9B87"/>
    <w:rsid w:val="19B868C3"/>
    <w:rsid w:val="1A091688"/>
    <w:rsid w:val="1A0D9D8B"/>
    <w:rsid w:val="1A12D017"/>
    <w:rsid w:val="1A22901A"/>
    <w:rsid w:val="1A2AE5AD"/>
    <w:rsid w:val="1A34A099"/>
    <w:rsid w:val="1A557893"/>
    <w:rsid w:val="1A563FFC"/>
    <w:rsid w:val="1A6C67F3"/>
    <w:rsid w:val="1A794D1F"/>
    <w:rsid w:val="1A810D30"/>
    <w:rsid w:val="1ACA0640"/>
    <w:rsid w:val="1AE2FADB"/>
    <w:rsid w:val="1AEB7189"/>
    <w:rsid w:val="1AEEAA30"/>
    <w:rsid w:val="1B0D6C7C"/>
    <w:rsid w:val="1B198F3E"/>
    <w:rsid w:val="1B289504"/>
    <w:rsid w:val="1B35EE47"/>
    <w:rsid w:val="1B53446E"/>
    <w:rsid w:val="1B57225D"/>
    <w:rsid w:val="1B85C3DC"/>
    <w:rsid w:val="1B94C4CC"/>
    <w:rsid w:val="1B9F9B51"/>
    <w:rsid w:val="1BA367F1"/>
    <w:rsid w:val="1BB08680"/>
    <w:rsid w:val="1BC95EC5"/>
    <w:rsid w:val="1C01E1C0"/>
    <w:rsid w:val="1C79E2EB"/>
    <w:rsid w:val="1C7CF2BD"/>
    <w:rsid w:val="1CC9D6F5"/>
    <w:rsid w:val="1CCF6D71"/>
    <w:rsid w:val="1CD7247F"/>
    <w:rsid w:val="1CDC2873"/>
    <w:rsid w:val="1D076BBF"/>
    <w:rsid w:val="1D14160B"/>
    <w:rsid w:val="1D1C699A"/>
    <w:rsid w:val="1D39646D"/>
    <w:rsid w:val="1D51E98E"/>
    <w:rsid w:val="1D655DED"/>
    <w:rsid w:val="1DA3A024"/>
    <w:rsid w:val="1E0DC930"/>
    <w:rsid w:val="1E83A233"/>
    <w:rsid w:val="1EB2A2C2"/>
    <w:rsid w:val="1ED55A3A"/>
    <w:rsid w:val="1EDFD7EB"/>
    <w:rsid w:val="1EF0CC48"/>
    <w:rsid w:val="1F2A9F59"/>
    <w:rsid w:val="1F43F28D"/>
    <w:rsid w:val="1F755E5E"/>
    <w:rsid w:val="1F7AD999"/>
    <w:rsid w:val="1F89EA6A"/>
    <w:rsid w:val="1F99D0FE"/>
    <w:rsid w:val="1FE04FB1"/>
    <w:rsid w:val="1FEEBD2D"/>
    <w:rsid w:val="200B1ADB"/>
    <w:rsid w:val="2096DA03"/>
    <w:rsid w:val="20AA9F5C"/>
    <w:rsid w:val="20D23C62"/>
    <w:rsid w:val="20DD1D4F"/>
    <w:rsid w:val="211DF2F9"/>
    <w:rsid w:val="21440BE8"/>
    <w:rsid w:val="215829BA"/>
    <w:rsid w:val="21684E84"/>
    <w:rsid w:val="217105A2"/>
    <w:rsid w:val="219CB280"/>
    <w:rsid w:val="21FACDEA"/>
    <w:rsid w:val="222312A2"/>
    <w:rsid w:val="226BA8E6"/>
    <w:rsid w:val="229A3482"/>
    <w:rsid w:val="22D61967"/>
    <w:rsid w:val="2311825A"/>
    <w:rsid w:val="23124532"/>
    <w:rsid w:val="2312A51A"/>
    <w:rsid w:val="23242E12"/>
    <w:rsid w:val="232821E7"/>
    <w:rsid w:val="23494DBD"/>
    <w:rsid w:val="236B3428"/>
    <w:rsid w:val="23B7DD01"/>
    <w:rsid w:val="23E985AB"/>
    <w:rsid w:val="240E9784"/>
    <w:rsid w:val="242DBDB6"/>
    <w:rsid w:val="24465469"/>
    <w:rsid w:val="244E2538"/>
    <w:rsid w:val="247CB5DF"/>
    <w:rsid w:val="249957EF"/>
    <w:rsid w:val="24C8DC84"/>
    <w:rsid w:val="24FB56C8"/>
    <w:rsid w:val="2502EB45"/>
    <w:rsid w:val="25104E0C"/>
    <w:rsid w:val="251DC918"/>
    <w:rsid w:val="254624E8"/>
    <w:rsid w:val="254AC8B2"/>
    <w:rsid w:val="25B60E71"/>
    <w:rsid w:val="25D1A4CD"/>
    <w:rsid w:val="25EB7FEF"/>
    <w:rsid w:val="25F15D3F"/>
    <w:rsid w:val="261841DD"/>
    <w:rsid w:val="261B5F63"/>
    <w:rsid w:val="26269D0A"/>
    <w:rsid w:val="262B487B"/>
    <w:rsid w:val="2634C92B"/>
    <w:rsid w:val="26365C70"/>
    <w:rsid w:val="268013C4"/>
    <w:rsid w:val="2680AA56"/>
    <w:rsid w:val="268419CC"/>
    <w:rsid w:val="268D743C"/>
    <w:rsid w:val="269B3BD7"/>
    <w:rsid w:val="26AA3F7E"/>
    <w:rsid w:val="26BA96A5"/>
    <w:rsid w:val="26BC48D8"/>
    <w:rsid w:val="26F4AC35"/>
    <w:rsid w:val="27236344"/>
    <w:rsid w:val="2739E63C"/>
    <w:rsid w:val="2794D3BB"/>
    <w:rsid w:val="27A8C1B5"/>
    <w:rsid w:val="27B128DA"/>
    <w:rsid w:val="27BA2696"/>
    <w:rsid w:val="27C5F320"/>
    <w:rsid w:val="27C6CA3E"/>
    <w:rsid w:val="283F6CE8"/>
    <w:rsid w:val="28494D6E"/>
    <w:rsid w:val="2852A48C"/>
    <w:rsid w:val="2879FF93"/>
    <w:rsid w:val="288DDD9B"/>
    <w:rsid w:val="28CABCAD"/>
    <w:rsid w:val="28D25BBC"/>
    <w:rsid w:val="28D2688E"/>
    <w:rsid w:val="28E0EFDD"/>
    <w:rsid w:val="28E6BB32"/>
    <w:rsid w:val="28F19AC4"/>
    <w:rsid w:val="28FDB481"/>
    <w:rsid w:val="292512EA"/>
    <w:rsid w:val="2945746B"/>
    <w:rsid w:val="2973C56B"/>
    <w:rsid w:val="297E7A3C"/>
    <w:rsid w:val="29A05AA2"/>
    <w:rsid w:val="29EEAB68"/>
    <w:rsid w:val="29FBEBCD"/>
    <w:rsid w:val="29FDCEAF"/>
    <w:rsid w:val="2A11927B"/>
    <w:rsid w:val="2A1AB5B5"/>
    <w:rsid w:val="2A51DA7B"/>
    <w:rsid w:val="2A61E7E5"/>
    <w:rsid w:val="2A81C517"/>
    <w:rsid w:val="2A94A3E5"/>
    <w:rsid w:val="2A984702"/>
    <w:rsid w:val="2AA0A1B4"/>
    <w:rsid w:val="2AB7B8EC"/>
    <w:rsid w:val="2ACCC555"/>
    <w:rsid w:val="2ACEF7AA"/>
    <w:rsid w:val="2AD8DA23"/>
    <w:rsid w:val="2B125956"/>
    <w:rsid w:val="2B135ED6"/>
    <w:rsid w:val="2B25EF20"/>
    <w:rsid w:val="2B32E41A"/>
    <w:rsid w:val="2B5F5F50"/>
    <w:rsid w:val="2B73B756"/>
    <w:rsid w:val="2BA1B0C2"/>
    <w:rsid w:val="2BAB37E1"/>
    <w:rsid w:val="2BBC0ED8"/>
    <w:rsid w:val="2BDC30DC"/>
    <w:rsid w:val="2BE4525C"/>
    <w:rsid w:val="2C2B4775"/>
    <w:rsid w:val="2C2BABDE"/>
    <w:rsid w:val="2C48C246"/>
    <w:rsid w:val="2C4EB5D9"/>
    <w:rsid w:val="2C7973D2"/>
    <w:rsid w:val="2C94EA24"/>
    <w:rsid w:val="2CB67E65"/>
    <w:rsid w:val="2CB9E640"/>
    <w:rsid w:val="2CD3350F"/>
    <w:rsid w:val="2CDBF202"/>
    <w:rsid w:val="2D02F40F"/>
    <w:rsid w:val="2D42E0E7"/>
    <w:rsid w:val="2D5D72F8"/>
    <w:rsid w:val="2D6157FD"/>
    <w:rsid w:val="2D62111F"/>
    <w:rsid w:val="2D63313C"/>
    <w:rsid w:val="2D6AC84D"/>
    <w:rsid w:val="2D91635E"/>
    <w:rsid w:val="2DC10D29"/>
    <w:rsid w:val="2E003F7E"/>
    <w:rsid w:val="2E02A129"/>
    <w:rsid w:val="2E0A1D6B"/>
    <w:rsid w:val="2E0A4728"/>
    <w:rsid w:val="2E1F1D2F"/>
    <w:rsid w:val="2E31E9DD"/>
    <w:rsid w:val="2E3F0B16"/>
    <w:rsid w:val="2E5C7347"/>
    <w:rsid w:val="2E6C880B"/>
    <w:rsid w:val="2E703728"/>
    <w:rsid w:val="2E7B29FA"/>
    <w:rsid w:val="2E99E604"/>
    <w:rsid w:val="2EA3006D"/>
    <w:rsid w:val="2EA55FA5"/>
    <w:rsid w:val="2ECB5544"/>
    <w:rsid w:val="2F8BC571"/>
    <w:rsid w:val="2FB1DAC6"/>
    <w:rsid w:val="2FCFB6AB"/>
    <w:rsid w:val="2FEB837B"/>
    <w:rsid w:val="301FA770"/>
    <w:rsid w:val="302BD0AE"/>
    <w:rsid w:val="302E76AD"/>
    <w:rsid w:val="3036975D"/>
    <w:rsid w:val="304F3E54"/>
    <w:rsid w:val="3065A5DB"/>
    <w:rsid w:val="30787E35"/>
    <w:rsid w:val="30ADAA86"/>
    <w:rsid w:val="30B60CCC"/>
    <w:rsid w:val="30EE29A6"/>
    <w:rsid w:val="30F89C54"/>
    <w:rsid w:val="31360EDB"/>
    <w:rsid w:val="315A0E4A"/>
    <w:rsid w:val="316F0100"/>
    <w:rsid w:val="31789007"/>
    <w:rsid w:val="3178C233"/>
    <w:rsid w:val="3180D3BC"/>
    <w:rsid w:val="318EF72B"/>
    <w:rsid w:val="319FD35D"/>
    <w:rsid w:val="31A0807D"/>
    <w:rsid w:val="31E89FF9"/>
    <w:rsid w:val="321FDEF3"/>
    <w:rsid w:val="32300424"/>
    <w:rsid w:val="32385D69"/>
    <w:rsid w:val="32406F7A"/>
    <w:rsid w:val="3246E2C0"/>
    <w:rsid w:val="32664F78"/>
    <w:rsid w:val="3298FDB8"/>
    <w:rsid w:val="32C5D5D9"/>
    <w:rsid w:val="32D6DC10"/>
    <w:rsid w:val="32DF6FE6"/>
    <w:rsid w:val="32EA793E"/>
    <w:rsid w:val="332C0185"/>
    <w:rsid w:val="332DB741"/>
    <w:rsid w:val="33302EAA"/>
    <w:rsid w:val="333A5000"/>
    <w:rsid w:val="33702CDF"/>
    <w:rsid w:val="33D7A6D9"/>
    <w:rsid w:val="33DD6FFC"/>
    <w:rsid w:val="34203E0F"/>
    <w:rsid w:val="3444470E"/>
    <w:rsid w:val="3459B9E7"/>
    <w:rsid w:val="3469AE1A"/>
    <w:rsid w:val="34897539"/>
    <w:rsid w:val="34AC5558"/>
    <w:rsid w:val="34B7DDE8"/>
    <w:rsid w:val="34EFEE3C"/>
    <w:rsid w:val="34FCBCE0"/>
    <w:rsid w:val="35268731"/>
    <w:rsid w:val="3528B44E"/>
    <w:rsid w:val="353FF6C2"/>
    <w:rsid w:val="354BB74B"/>
    <w:rsid w:val="3588B75B"/>
    <w:rsid w:val="35A9E49F"/>
    <w:rsid w:val="35B60F4E"/>
    <w:rsid w:val="35CAECC0"/>
    <w:rsid w:val="35D439FF"/>
    <w:rsid w:val="3602A47F"/>
    <w:rsid w:val="360C13F6"/>
    <w:rsid w:val="363F3175"/>
    <w:rsid w:val="3645F826"/>
    <w:rsid w:val="36656D35"/>
    <w:rsid w:val="367381C5"/>
    <w:rsid w:val="3699C730"/>
    <w:rsid w:val="36DDAA28"/>
    <w:rsid w:val="371E21DE"/>
    <w:rsid w:val="3764EF9C"/>
    <w:rsid w:val="3768DAD0"/>
    <w:rsid w:val="3773A782"/>
    <w:rsid w:val="37A4E6B0"/>
    <w:rsid w:val="37BFD6B8"/>
    <w:rsid w:val="37FD849C"/>
    <w:rsid w:val="37FE969A"/>
    <w:rsid w:val="381AE83C"/>
    <w:rsid w:val="381F186F"/>
    <w:rsid w:val="383490CF"/>
    <w:rsid w:val="383522CF"/>
    <w:rsid w:val="385EBE94"/>
    <w:rsid w:val="386E57B1"/>
    <w:rsid w:val="3871ED63"/>
    <w:rsid w:val="38A4D9D4"/>
    <w:rsid w:val="38C6DAD0"/>
    <w:rsid w:val="38C76719"/>
    <w:rsid w:val="38D4CBC1"/>
    <w:rsid w:val="38DBD7E0"/>
    <w:rsid w:val="38F0665B"/>
    <w:rsid w:val="392DEE52"/>
    <w:rsid w:val="39526037"/>
    <w:rsid w:val="39640D23"/>
    <w:rsid w:val="396B2931"/>
    <w:rsid w:val="398668B7"/>
    <w:rsid w:val="39881F6E"/>
    <w:rsid w:val="39A6C054"/>
    <w:rsid w:val="39A7B562"/>
    <w:rsid w:val="39B9A916"/>
    <w:rsid w:val="39C4E218"/>
    <w:rsid w:val="39D63E34"/>
    <w:rsid w:val="3A3EAC71"/>
    <w:rsid w:val="3A65F7F9"/>
    <w:rsid w:val="3A75F2F1"/>
    <w:rsid w:val="3A99ED21"/>
    <w:rsid w:val="3AC9A010"/>
    <w:rsid w:val="3AD845E3"/>
    <w:rsid w:val="3B198C80"/>
    <w:rsid w:val="3B4662F6"/>
    <w:rsid w:val="3B62A386"/>
    <w:rsid w:val="3BC25EC1"/>
    <w:rsid w:val="3BC8E1C0"/>
    <w:rsid w:val="3BDE6604"/>
    <w:rsid w:val="3BDF39FB"/>
    <w:rsid w:val="3BE2F672"/>
    <w:rsid w:val="3C1A9910"/>
    <w:rsid w:val="3C2121C3"/>
    <w:rsid w:val="3C34CE7C"/>
    <w:rsid w:val="3C3AD209"/>
    <w:rsid w:val="3C3C775D"/>
    <w:rsid w:val="3C7592E3"/>
    <w:rsid w:val="3C79B5ED"/>
    <w:rsid w:val="3CC05FE6"/>
    <w:rsid w:val="3CF65043"/>
    <w:rsid w:val="3D230EB7"/>
    <w:rsid w:val="3D4311E0"/>
    <w:rsid w:val="3D4E4812"/>
    <w:rsid w:val="3D536C60"/>
    <w:rsid w:val="3D74007F"/>
    <w:rsid w:val="3D9FC49D"/>
    <w:rsid w:val="3DB132C6"/>
    <w:rsid w:val="3DB52FE1"/>
    <w:rsid w:val="3DD64E82"/>
    <w:rsid w:val="3DD75EA5"/>
    <w:rsid w:val="3DDB4B2C"/>
    <w:rsid w:val="3DF718A5"/>
    <w:rsid w:val="3E1FEEAA"/>
    <w:rsid w:val="3E4E349E"/>
    <w:rsid w:val="3E64AFD6"/>
    <w:rsid w:val="3E8195A6"/>
    <w:rsid w:val="3E93C8B3"/>
    <w:rsid w:val="3EA244B7"/>
    <w:rsid w:val="3EBFC519"/>
    <w:rsid w:val="3EF5AA99"/>
    <w:rsid w:val="3F515AC3"/>
    <w:rsid w:val="3F5BD740"/>
    <w:rsid w:val="3F60F2F8"/>
    <w:rsid w:val="3F9C9D65"/>
    <w:rsid w:val="3FA8780A"/>
    <w:rsid w:val="3FD77211"/>
    <w:rsid w:val="3FF6435A"/>
    <w:rsid w:val="3FFE02C2"/>
    <w:rsid w:val="401CFF36"/>
    <w:rsid w:val="402C646B"/>
    <w:rsid w:val="404C41E8"/>
    <w:rsid w:val="405011BD"/>
    <w:rsid w:val="406E79FA"/>
    <w:rsid w:val="40778543"/>
    <w:rsid w:val="40A87A90"/>
    <w:rsid w:val="40A8BCA3"/>
    <w:rsid w:val="40C723C3"/>
    <w:rsid w:val="40D2D070"/>
    <w:rsid w:val="40D369DB"/>
    <w:rsid w:val="40E86BEF"/>
    <w:rsid w:val="40F636A4"/>
    <w:rsid w:val="413C3906"/>
    <w:rsid w:val="418B014F"/>
    <w:rsid w:val="4195C70D"/>
    <w:rsid w:val="4198FB2C"/>
    <w:rsid w:val="41A6EB68"/>
    <w:rsid w:val="41B8DEA3"/>
    <w:rsid w:val="41DCF07F"/>
    <w:rsid w:val="41E3B2FE"/>
    <w:rsid w:val="41E8AA4B"/>
    <w:rsid w:val="42014568"/>
    <w:rsid w:val="4213110B"/>
    <w:rsid w:val="42159E75"/>
    <w:rsid w:val="4265213A"/>
    <w:rsid w:val="426F1939"/>
    <w:rsid w:val="429C919D"/>
    <w:rsid w:val="429E926F"/>
    <w:rsid w:val="42F75624"/>
    <w:rsid w:val="4308A488"/>
    <w:rsid w:val="4320D26C"/>
    <w:rsid w:val="4320E74B"/>
    <w:rsid w:val="433FA263"/>
    <w:rsid w:val="435FC0B3"/>
    <w:rsid w:val="43683965"/>
    <w:rsid w:val="437284A6"/>
    <w:rsid w:val="4379BD07"/>
    <w:rsid w:val="43A38044"/>
    <w:rsid w:val="43AEF68A"/>
    <w:rsid w:val="43B1B667"/>
    <w:rsid w:val="43C36E1E"/>
    <w:rsid w:val="43C474A5"/>
    <w:rsid w:val="44152EA7"/>
    <w:rsid w:val="441B40B1"/>
    <w:rsid w:val="441FEBE7"/>
    <w:rsid w:val="44B3382A"/>
    <w:rsid w:val="44CA9612"/>
    <w:rsid w:val="45042261"/>
    <w:rsid w:val="45066641"/>
    <w:rsid w:val="45234B34"/>
    <w:rsid w:val="452C8F6D"/>
    <w:rsid w:val="4531570E"/>
    <w:rsid w:val="4559582B"/>
    <w:rsid w:val="4569216B"/>
    <w:rsid w:val="4569A3FF"/>
    <w:rsid w:val="4569F8E9"/>
    <w:rsid w:val="459D5179"/>
    <w:rsid w:val="45BC92DE"/>
    <w:rsid w:val="45FCCF2C"/>
    <w:rsid w:val="460CD2C2"/>
    <w:rsid w:val="4613FF36"/>
    <w:rsid w:val="4616242F"/>
    <w:rsid w:val="46602B50"/>
    <w:rsid w:val="4660B607"/>
    <w:rsid w:val="46A0303B"/>
    <w:rsid w:val="46B0F9D2"/>
    <w:rsid w:val="46B1F261"/>
    <w:rsid w:val="46B40F0D"/>
    <w:rsid w:val="46C32059"/>
    <w:rsid w:val="46D55FAA"/>
    <w:rsid w:val="46F2B016"/>
    <w:rsid w:val="46FFF439"/>
    <w:rsid w:val="470658A1"/>
    <w:rsid w:val="47190C70"/>
    <w:rsid w:val="471F67E3"/>
    <w:rsid w:val="473992B0"/>
    <w:rsid w:val="47418C26"/>
    <w:rsid w:val="478A5763"/>
    <w:rsid w:val="47AB4439"/>
    <w:rsid w:val="47BF0AA4"/>
    <w:rsid w:val="47CEDCF0"/>
    <w:rsid w:val="47E4DD18"/>
    <w:rsid w:val="484B8FE0"/>
    <w:rsid w:val="48D9813C"/>
    <w:rsid w:val="495C7E54"/>
    <w:rsid w:val="49721098"/>
    <w:rsid w:val="49D95142"/>
    <w:rsid w:val="49DE9BAC"/>
    <w:rsid w:val="4A1D575C"/>
    <w:rsid w:val="4A220478"/>
    <w:rsid w:val="4A2C8A8E"/>
    <w:rsid w:val="4A34E23C"/>
    <w:rsid w:val="4A3EB77A"/>
    <w:rsid w:val="4A69CCD9"/>
    <w:rsid w:val="4A840536"/>
    <w:rsid w:val="4AE3B0DB"/>
    <w:rsid w:val="4AEA1B72"/>
    <w:rsid w:val="4B1875BF"/>
    <w:rsid w:val="4B5AAD82"/>
    <w:rsid w:val="4B664FDB"/>
    <w:rsid w:val="4B737CD7"/>
    <w:rsid w:val="4BB0EE48"/>
    <w:rsid w:val="4BD5A0D3"/>
    <w:rsid w:val="4C1E0381"/>
    <w:rsid w:val="4C67B7A9"/>
    <w:rsid w:val="4C85AA57"/>
    <w:rsid w:val="4CE86510"/>
    <w:rsid w:val="4CF539B1"/>
    <w:rsid w:val="4CFB8656"/>
    <w:rsid w:val="4D242D3D"/>
    <w:rsid w:val="4D28CD77"/>
    <w:rsid w:val="4D558AF7"/>
    <w:rsid w:val="4D795270"/>
    <w:rsid w:val="4D812857"/>
    <w:rsid w:val="4D986F28"/>
    <w:rsid w:val="4DAD3F44"/>
    <w:rsid w:val="4DCB10EF"/>
    <w:rsid w:val="4DEDF1F4"/>
    <w:rsid w:val="4E10ED1F"/>
    <w:rsid w:val="4E176313"/>
    <w:rsid w:val="4E961D0E"/>
    <w:rsid w:val="4EA12241"/>
    <w:rsid w:val="4EBA1113"/>
    <w:rsid w:val="4EBA7812"/>
    <w:rsid w:val="4EC3D320"/>
    <w:rsid w:val="4ED17EA2"/>
    <w:rsid w:val="4EEBA027"/>
    <w:rsid w:val="4EED7470"/>
    <w:rsid w:val="4EF66472"/>
    <w:rsid w:val="4F429FA2"/>
    <w:rsid w:val="4F44211E"/>
    <w:rsid w:val="4F5FE064"/>
    <w:rsid w:val="4F6A76A5"/>
    <w:rsid w:val="4F740BAF"/>
    <w:rsid w:val="4F966C57"/>
    <w:rsid w:val="4FBA443A"/>
    <w:rsid w:val="4FBC02BD"/>
    <w:rsid w:val="4FC608B1"/>
    <w:rsid w:val="4FCDB280"/>
    <w:rsid w:val="4FDE29E5"/>
    <w:rsid w:val="4FE67C0E"/>
    <w:rsid w:val="5038F68A"/>
    <w:rsid w:val="5055F07F"/>
    <w:rsid w:val="507A286E"/>
    <w:rsid w:val="50A96A4D"/>
    <w:rsid w:val="50C9A059"/>
    <w:rsid w:val="50DF280C"/>
    <w:rsid w:val="5114F1B3"/>
    <w:rsid w:val="51BF8465"/>
    <w:rsid w:val="51C982D1"/>
    <w:rsid w:val="51FD5899"/>
    <w:rsid w:val="52185D15"/>
    <w:rsid w:val="5228F8F6"/>
    <w:rsid w:val="529FAA0D"/>
    <w:rsid w:val="52A3FEB8"/>
    <w:rsid w:val="52AD8DDC"/>
    <w:rsid w:val="52B29C7C"/>
    <w:rsid w:val="52B47181"/>
    <w:rsid w:val="52B6F050"/>
    <w:rsid w:val="52C5143E"/>
    <w:rsid w:val="52F17613"/>
    <w:rsid w:val="52F56C82"/>
    <w:rsid w:val="53105890"/>
    <w:rsid w:val="5335A632"/>
    <w:rsid w:val="535F1D76"/>
    <w:rsid w:val="536BC396"/>
    <w:rsid w:val="538B4451"/>
    <w:rsid w:val="538E59F6"/>
    <w:rsid w:val="539F01B6"/>
    <w:rsid w:val="53E91536"/>
    <w:rsid w:val="540305A6"/>
    <w:rsid w:val="5455D42F"/>
    <w:rsid w:val="54750541"/>
    <w:rsid w:val="548BB587"/>
    <w:rsid w:val="54C7D47D"/>
    <w:rsid w:val="54DA9842"/>
    <w:rsid w:val="5500340B"/>
    <w:rsid w:val="55328837"/>
    <w:rsid w:val="554812AF"/>
    <w:rsid w:val="55494573"/>
    <w:rsid w:val="5599CE89"/>
    <w:rsid w:val="55A2EAAC"/>
    <w:rsid w:val="55C9D33B"/>
    <w:rsid w:val="55F8E2D8"/>
    <w:rsid w:val="55FC9A85"/>
    <w:rsid w:val="5618FCF3"/>
    <w:rsid w:val="5643DF72"/>
    <w:rsid w:val="56840ACB"/>
    <w:rsid w:val="5685C132"/>
    <w:rsid w:val="5687BA56"/>
    <w:rsid w:val="56D8C866"/>
    <w:rsid w:val="56DBC78D"/>
    <w:rsid w:val="57174E26"/>
    <w:rsid w:val="578B958B"/>
    <w:rsid w:val="57B6E4A8"/>
    <w:rsid w:val="57B933D1"/>
    <w:rsid w:val="57C44288"/>
    <w:rsid w:val="57D6F41A"/>
    <w:rsid w:val="58287951"/>
    <w:rsid w:val="58451A57"/>
    <w:rsid w:val="58516F8D"/>
    <w:rsid w:val="585A896D"/>
    <w:rsid w:val="5861A9FB"/>
    <w:rsid w:val="58B8E7C2"/>
    <w:rsid w:val="58E46199"/>
    <w:rsid w:val="5903754E"/>
    <w:rsid w:val="5908EEB2"/>
    <w:rsid w:val="5921FB08"/>
    <w:rsid w:val="5940AE11"/>
    <w:rsid w:val="594385F2"/>
    <w:rsid w:val="597962AF"/>
    <w:rsid w:val="59976900"/>
    <w:rsid w:val="59A0D23F"/>
    <w:rsid w:val="59AC828D"/>
    <w:rsid w:val="5A3468ED"/>
    <w:rsid w:val="5A436E59"/>
    <w:rsid w:val="5A67B2E7"/>
    <w:rsid w:val="5A6C7C92"/>
    <w:rsid w:val="5AA3B91F"/>
    <w:rsid w:val="5AC70012"/>
    <w:rsid w:val="5AE88269"/>
    <w:rsid w:val="5AEAA0C4"/>
    <w:rsid w:val="5AFEBD85"/>
    <w:rsid w:val="5B02C6D5"/>
    <w:rsid w:val="5B216230"/>
    <w:rsid w:val="5B39EC94"/>
    <w:rsid w:val="5B3A922B"/>
    <w:rsid w:val="5B4D0A07"/>
    <w:rsid w:val="5B50444A"/>
    <w:rsid w:val="5B5E7B0D"/>
    <w:rsid w:val="5B6B7E00"/>
    <w:rsid w:val="5B8CC165"/>
    <w:rsid w:val="5B998A15"/>
    <w:rsid w:val="5BB39E4A"/>
    <w:rsid w:val="5BD6DBA0"/>
    <w:rsid w:val="5BDE095D"/>
    <w:rsid w:val="5BE5C1BB"/>
    <w:rsid w:val="5BE888D6"/>
    <w:rsid w:val="5C2E28FA"/>
    <w:rsid w:val="5C36CEF5"/>
    <w:rsid w:val="5C3C7623"/>
    <w:rsid w:val="5C4987EF"/>
    <w:rsid w:val="5C4DD88F"/>
    <w:rsid w:val="5C629118"/>
    <w:rsid w:val="5C932ABF"/>
    <w:rsid w:val="5C9B68F2"/>
    <w:rsid w:val="5CA9C430"/>
    <w:rsid w:val="5CB1E3AC"/>
    <w:rsid w:val="5CBEDE61"/>
    <w:rsid w:val="5CDB76A7"/>
    <w:rsid w:val="5CE974A8"/>
    <w:rsid w:val="5D2B4051"/>
    <w:rsid w:val="5D6696F2"/>
    <w:rsid w:val="5D97FF3D"/>
    <w:rsid w:val="5D9E591B"/>
    <w:rsid w:val="5DBAB9E2"/>
    <w:rsid w:val="5DC033BA"/>
    <w:rsid w:val="5DFC5C7D"/>
    <w:rsid w:val="5E20232B"/>
    <w:rsid w:val="5E7B12A3"/>
    <w:rsid w:val="5E84F73D"/>
    <w:rsid w:val="5E857151"/>
    <w:rsid w:val="5E8EAE76"/>
    <w:rsid w:val="5EC8E47E"/>
    <w:rsid w:val="5EDD4C0D"/>
    <w:rsid w:val="5EE9FC39"/>
    <w:rsid w:val="5EF299BA"/>
    <w:rsid w:val="5F193DC0"/>
    <w:rsid w:val="5F5C48CF"/>
    <w:rsid w:val="5F62993E"/>
    <w:rsid w:val="5F661FED"/>
    <w:rsid w:val="5F82F4BD"/>
    <w:rsid w:val="5F95B988"/>
    <w:rsid w:val="5FA2CB2F"/>
    <w:rsid w:val="5FD39C98"/>
    <w:rsid w:val="60039C5E"/>
    <w:rsid w:val="60113859"/>
    <w:rsid w:val="60936940"/>
    <w:rsid w:val="60943597"/>
    <w:rsid w:val="6095E908"/>
    <w:rsid w:val="609ADE7A"/>
    <w:rsid w:val="609E1DDD"/>
    <w:rsid w:val="60D22A29"/>
    <w:rsid w:val="60D45E0A"/>
    <w:rsid w:val="60F4C4F3"/>
    <w:rsid w:val="6115113D"/>
    <w:rsid w:val="61193FF4"/>
    <w:rsid w:val="6135C45D"/>
    <w:rsid w:val="613A95ED"/>
    <w:rsid w:val="613EFA4E"/>
    <w:rsid w:val="614D0C45"/>
    <w:rsid w:val="615C003A"/>
    <w:rsid w:val="617709C3"/>
    <w:rsid w:val="61BE4BAC"/>
    <w:rsid w:val="61D77126"/>
    <w:rsid w:val="61F8EDED"/>
    <w:rsid w:val="62130239"/>
    <w:rsid w:val="6232CE05"/>
    <w:rsid w:val="626D8D4C"/>
    <w:rsid w:val="62769FFF"/>
    <w:rsid w:val="62A902AA"/>
    <w:rsid w:val="62D6C50E"/>
    <w:rsid w:val="62DA5D5D"/>
    <w:rsid w:val="62DB3FCC"/>
    <w:rsid w:val="62F51DB7"/>
    <w:rsid w:val="62FB4956"/>
    <w:rsid w:val="62FC6ABD"/>
    <w:rsid w:val="630D0CB5"/>
    <w:rsid w:val="63409A02"/>
    <w:rsid w:val="6349DABC"/>
    <w:rsid w:val="634E7FEC"/>
    <w:rsid w:val="637AC9F1"/>
    <w:rsid w:val="637D7A62"/>
    <w:rsid w:val="63811553"/>
    <w:rsid w:val="638B0A34"/>
    <w:rsid w:val="6394C048"/>
    <w:rsid w:val="63A68606"/>
    <w:rsid w:val="63AFD5F3"/>
    <w:rsid w:val="642F5958"/>
    <w:rsid w:val="644F2AF3"/>
    <w:rsid w:val="64809566"/>
    <w:rsid w:val="649D42E6"/>
    <w:rsid w:val="64E0298C"/>
    <w:rsid w:val="65040663"/>
    <w:rsid w:val="6565191B"/>
    <w:rsid w:val="65E3E48E"/>
    <w:rsid w:val="6607FDEF"/>
    <w:rsid w:val="660B341D"/>
    <w:rsid w:val="662ABDA2"/>
    <w:rsid w:val="663053EB"/>
    <w:rsid w:val="665DA64E"/>
    <w:rsid w:val="6664A805"/>
    <w:rsid w:val="6673DB4E"/>
    <w:rsid w:val="66B38F90"/>
    <w:rsid w:val="66F34F15"/>
    <w:rsid w:val="66F7415C"/>
    <w:rsid w:val="671BE96C"/>
    <w:rsid w:val="67363CDD"/>
    <w:rsid w:val="675CD2E4"/>
    <w:rsid w:val="6761704F"/>
    <w:rsid w:val="676A5941"/>
    <w:rsid w:val="67A55948"/>
    <w:rsid w:val="67ADDD14"/>
    <w:rsid w:val="67EDD0B5"/>
    <w:rsid w:val="67FA4286"/>
    <w:rsid w:val="68098BFD"/>
    <w:rsid w:val="685F726F"/>
    <w:rsid w:val="685FFF77"/>
    <w:rsid w:val="68750CA2"/>
    <w:rsid w:val="68876269"/>
    <w:rsid w:val="68922E3D"/>
    <w:rsid w:val="68DCC6A9"/>
    <w:rsid w:val="68EB76DB"/>
    <w:rsid w:val="68FF09F3"/>
    <w:rsid w:val="6900BF29"/>
    <w:rsid w:val="6906A6FC"/>
    <w:rsid w:val="69148F2B"/>
    <w:rsid w:val="69184769"/>
    <w:rsid w:val="696CAD7A"/>
    <w:rsid w:val="6974FBD1"/>
    <w:rsid w:val="697845F9"/>
    <w:rsid w:val="69977F32"/>
    <w:rsid w:val="69C049D4"/>
    <w:rsid w:val="69C893FF"/>
    <w:rsid w:val="69D2EA0C"/>
    <w:rsid w:val="69E8CF98"/>
    <w:rsid w:val="6A2F0529"/>
    <w:rsid w:val="6A5DB634"/>
    <w:rsid w:val="6A8A47B2"/>
    <w:rsid w:val="6AA4998E"/>
    <w:rsid w:val="6AAD5C1F"/>
    <w:rsid w:val="6AAE9098"/>
    <w:rsid w:val="6AD38770"/>
    <w:rsid w:val="6ADCEF30"/>
    <w:rsid w:val="6B3C27D9"/>
    <w:rsid w:val="6B3F9776"/>
    <w:rsid w:val="6B6FC45E"/>
    <w:rsid w:val="6BCF879B"/>
    <w:rsid w:val="6BDF290D"/>
    <w:rsid w:val="6C0144F0"/>
    <w:rsid w:val="6C1B15DE"/>
    <w:rsid w:val="6C375A08"/>
    <w:rsid w:val="6C378C61"/>
    <w:rsid w:val="6C5FFC7F"/>
    <w:rsid w:val="6C7705E1"/>
    <w:rsid w:val="6C927F2C"/>
    <w:rsid w:val="6CA54130"/>
    <w:rsid w:val="6CB7C1B9"/>
    <w:rsid w:val="6CECA0BA"/>
    <w:rsid w:val="6CF9CE6D"/>
    <w:rsid w:val="6D382D6C"/>
    <w:rsid w:val="6D7183DA"/>
    <w:rsid w:val="6DCE0937"/>
    <w:rsid w:val="6DF3FAF4"/>
    <w:rsid w:val="6E0E53FB"/>
    <w:rsid w:val="6E2658DB"/>
    <w:rsid w:val="6E3F40DD"/>
    <w:rsid w:val="6EBED2B4"/>
    <w:rsid w:val="6EC0C87C"/>
    <w:rsid w:val="6F2BE6C8"/>
    <w:rsid w:val="6F3EE20B"/>
    <w:rsid w:val="6F527645"/>
    <w:rsid w:val="6F7629B8"/>
    <w:rsid w:val="6F89EE6B"/>
    <w:rsid w:val="701D91E4"/>
    <w:rsid w:val="708167D2"/>
    <w:rsid w:val="70B52C39"/>
    <w:rsid w:val="70D80DBD"/>
    <w:rsid w:val="7100948D"/>
    <w:rsid w:val="71109E54"/>
    <w:rsid w:val="711719F4"/>
    <w:rsid w:val="71341F38"/>
    <w:rsid w:val="713B5AAA"/>
    <w:rsid w:val="71997648"/>
    <w:rsid w:val="71AF6569"/>
    <w:rsid w:val="71B6A06C"/>
    <w:rsid w:val="71E0FDB6"/>
    <w:rsid w:val="71FD9AF5"/>
    <w:rsid w:val="721C7959"/>
    <w:rsid w:val="7220632D"/>
    <w:rsid w:val="723CA304"/>
    <w:rsid w:val="7257ED6D"/>
    <w:rsid w:val="72963965"/>
    <w:rsid w:val="72F87D41"/>
    <w:rsid w:val="72FB0724"/>
    <w:rsid w:val="733FAA48"/>
    <w:rsid w:val="737A20A9"/>
    <w:rsid w:val="73AEB60F"/>
    <w:rsid w:val="73C6C5CE"/>
    <w:rsid w:val="73C7C219"/>
    <w:rsid w:val="73F4C34C"/>
    <w:rsid w:val="73FF39CC"/>
    <w:rsid w:val="7406D2F6"/>
    <w:rsid w:val="740E3A47"/>
    <w:rsid w:val="7429AC3D"/>
    <w:rsid w:val="742C55D6"/>
    <w:rsid w:val="74681F43"/>
    <w:rsid w:val="74764FA5"/>
    <w:rsid w:val="752537C1"/>
    <w:rsid w:val="7576B271"/>
    <w:rsid w:val="7592C012"/>
    <w:rsid w:val="759A4D9B"/>
    <w:rsid w:val="75CF1393"/>
    <w:rsid w:val="75DF71D1"/>
    <w:rsid w:val="75E3EE22"/>
    <w:rsid w:val="75E476D4"/>
    <w:rsid w:val="75EE6618"/>
    <w:rsid w:val="76152F3E"/>
    <w:rsid w:val="7615CBFB"/>
    <w:rsid w:val="76253939"/>
    <w:rsid w:val="762787A2"/>
    <w:rsid w:val="7631FC7D"/>
    <w:rsid w:val="763D0525"/>
    <w:rsid w:val="764AE15E"/>
    <w:rsid w:val="76665033"/>
    <w:rsid w:val="7674CFC2"/>
    <w:rsid w:val="7688A7A3"/>
    <w:rsid w:val="76A02006"/>
    <w:rsid w:val="76B7FFC8"/>
    <w:rsid w:val="76DCB7BC"/>
    <w:rsid w:val="76F0AA52"/>
    <w:rsid w:val="76F3EBDA"/>
    <w:rsid w:val="76FE6AE7"/>
    <w:rsid w:val="7715365E"/>
    <w:rsid w:val="77267716"/>
    <w:rsid w:val="77421BF7"/>
    <w:rsid w:val="7753837F"/>
    <w:rsid w:val="775C90E8"/>
    <w:rsid w:val="775E38D1"/>
    <w:rsid w:val="77647949"/>
    <w:rsid w:val="77ACC89E"/>
    <w:rsid w:val="77BA0AB6"/>
    <w:rsid w:val="77C5387A"/>
    <w:rsid w:val="780D1B20"/>
    <w:rsid w:val="78157173"/>
    <w:rsid w:val="783313B4"/>
    <w:rsid w:val="784336DE"/>
    <w:rsid w:val="785EDAF0"/>
    <w:rsid w:val="786EF6F7"/>
    <w:rsid w:val="788370A6"/>
    <w:rsid w:val="78D2F74D"/>
    <w:rsid w:val="78F25142"/>
    <w:rsid w:val="792ADE4F"/>
    <w:rsid w:val="794E3E42"/>
    <w:rsid w:val="795027E9"/>
    <w:rsid w:val="79738486"/>
    <w:rsid w:val="799C443E"/>
    <w:rsid w:val="79AAFDC7"/>
    <w:rsid w:val="79D8FB7C"/>
    <w:rsid w:val="79DC766D"/>
    <w:rsid w:val="79E0C6DF"/>
    <w:rsid w:val="7A1CFD2D"/>
    <w:rsid w:val="7A28FE44"/>
    <w:rsid w:val="7A2E0837"/>
    <w:rsid w:val="7A6306AC"/>
    <w:rsid w:val="7A6C018A"/>
    <w:rsid w:val="7AE565F7"/>
    <w:rsid w:val="7AED9C8B"/>
    <w:rsid w:val="7AF4F376"/>
    <w:rsid w:val="7B021FC3"/>
    <w:rsid w:val="7B0A0762"/>
    <w:rsid w:val="7B0CA172"/>
    <w:rsid w:val="7B3805A5"/>
    <w:rsid w:val="7B753481"/>
    <w:rsid w:val="7B8EFC1F"/>
    <w:rsid w:val="7BA19A98"/>
    <w:rsid w:val="7BAE7033"/>
    <w:rsid w:val="7BC56A41"/>
    <w:rsid w:val="7BD75EE9"/>
    <w:rsid w:val="7C65ED4C"/>
    <w:rsid w:val="7C739449"/>
    <w:rsid w:val="7C9541DC"/>
    <w:rsid w:val="7C9C4479"/>
    <w:rsid w:val="7C9C4CDF"/>
    <w:rsid w:val="7CE1334C"/>
    <w:rsid w:val="7D246FC4"/>
    <w:rsid w:val="7D36F747"/>
    <w:rsid w:val="7D42020C"/>
    <w:rsid w:val="7D5A962C"/>
    <w:rsid w:val="7D95F6FE"/>
    <w:rsid w:val="7D9EFC19"/>
    <w:rsid w:val="7DAE1BC1"/>
    <w:rsid w:val="7DAF7955"/>
    <w:rsid w:val="7DB4F089"/>
    <w:rsid w:val="7DE098E0"/>
    <w:rsid w:val="7E0B732F"/>
    <w:rsid w:val="7E1EC905"/>
    <w:rsid w:val="7E2C800B"/>
    <w:rsid w:val="7E64AC38"/>
    <w:rsid w:val="7E700B3A"/>
    <w:rsid w:val="7E75495B"/>
    <w:rsid w:val="7E878D87"/>
    <w:rsid w:val="7E8EB558"/>
    <w:rsid w:val="7E9C476E"/>
    <w:rsid w:val="7EE0E33B"/>
    <w:rsid w:val="7F18921A"/>
    <w:rsid w:val="7F44373F"/>
    <w:rsid w:val="7F6EBF9D"/>
    <w:rsid w:val="7F89F78E"/>
    <w:rsid w:val="7F9019A5"/>
    <w:rsid w:val="7FA6C1B6"/>
    <w:rsid w:val="7FBD9F56"/>
    <w:rsid w:val="7FC1A0EE"/>
    <w:rsid w:val="7FDD85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6E9994"/>
  <w15:docId w15:val="{42DE6F74-1C69-4A49-AF36-EB87C4E8E1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267AD4"/>
    <w:pPr>
      <w:spacing w:after="0" w:line="240" w:lineRule="auto"/>
    </w:pPr>
    <w:rPr>
      <w:rFonts w:ascii="Times New Roman" w:hAnsi="Times New Roman" w:eastAsia="Times New Roman" w:cs="Times New Roman"/>
      <w:sz w:val="24"/>
      <w:szCs w:val="24"/>
      <w:lang w:val="es-ES" w:eastAsia="es-ES"/>
    </w:rPr>
  </w:style>
  <w:style w:type="paragraph" w:styleId="Ttulo1">
    <w:name w:val="heading 1"/>
    <w:basedOn w:val="Prrafodelista"/>
    <w:next w:val="Normal"/>
    <w:link w:val="Ttulo1Car"/>
    <w:uiPriority w:val="9"/>
    <w:qFormat/>
    <w:rsid w:val="00A952A2"/>
    <w:pPr>
      <w:keepNext/>
      <w:numPr>
        <w:numId w:val="10"/>
      </w:numPr>
      <w:spacing w:after="240"/>
      <w:jc w:val="both"/>
      <w:outlineLvl w:val="0"/>
    </w:pPr>
    <w:rPr>
      <w:rFonts w:ascii="Arial" w:hAnsi="Arial" w:cs="Arial"/>
      <w:b/>
      <w:sz w:val="21"/>
      <w:szCs w:val="21"/>
      <w:lang w:val="es-CO" w:eastAsia="es-CO"/>
    </w:rPr>
  </w:style>
  <w:style w:type="paragraph" w:styleId="Ttulo2">
    <w:name w:val="heading 2"/>
    <w:basedOn w:val="Prrafodelista"/>
    <w:next w:val="Normal"/>
    <w:link w:val="Ttulo2Car"/>
    <w:uiPriority w:val="9"/>
    <w:unhideWhenUsed/>
    <w:qFormat/>
    <w:rsid w:val="00A952A2"/>
    <w:pPr>
      <w:keepNext/>
      <w:numPr>
        <w:numId w:val="13"/>
      </w:numPr>
      <w:tabs>
        <w:tab w:val="left" w:pos="142"/>
        <w:tab w:val="left" w:pos="284"/>
        <w:tab w:val="center" w:pos="4252"/>
        <w:tab w:val="right" w:pos="8504"/>
      </w:tabs>
      <w:spacing w:after="240"/>
      <w:jc w:val="both"/>
      <w:outlineLvl w:val="1"/>
    </w:pPr>
    <w:rPr>
      <w:rFonts w:ascii="Arial" w:hAnsi="Arial" w:cs="Arial"/>
      <w:b/>
      <w:color w:val="000000"/>
      <w:sz w:val="21"/>
      <w:szCs w:val="21"/>
      <w:lang w:val="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aliases w:val="body text,bt,Inicio"/>
    <w:basedOn w:val="Normal"/>
    <w:link w:val="TextoindependienteCar"/>
    <w:rsid w:val="002F0C83"/>
    <w:pPr>
      <w:jc w:val="both"/>
    </w:pPr>
    <w:rPr>
      <w:rFonts w:ascii="Tahoma" w:hAnsi="Tahoma"/>
    </w:rPr>
  </w:style>
  <w:style w:type="character" w:styleId="TextoindependienteCar" w:customStyle="1">
    <w:name w:val="Texto independiente Car"/>
    <w:aliases w:val="body text Car,bt Car,Inicio Car"/>
    <w:basedOn w:val="Fuentedeprrafopredeter"/>
    <w:link w:val="Textoindependiente"/>
    <w:rsid w:val="002F0C83"/>
    <w:rPr>
      <w:rFonts w:ascii="Tahoma" w:hAnsi="Tahoma" w:eastAsia="Times New Roman" w:cs="Times New Roman"/>
      <w:sz w:val="24"/>
      <w:szCs w:val="24"/>
    </w:rPr>
  </w:style>
  <w:style w:type="paragraph" w:styleId="Encabezado">
    <w:name w:val="header"/>
    <w:aliases w:val="h,h8,h9,h10,h18,encabezado,Encabezado1"/>
    <w:basedOn w:val="Normal"/>
    <w:link w:val="EncabezadoCar"/>
    <w:uiPriority w:val="99"/>
    <w:rsid w:val="002F0C83"/>
    <w:pPr>
      <w:tabs>
        <w:tab w:val="center" w:pos="4252"/>
        <w:tab w:val="right" w:pos="8504"/>
      </w:tabs>
    </w:pPr>
  </w:style>
  <w:style w:type="character" w:styleId="EncabezadoCar" w:customStyle="1">
    <w:name w:val="Encabezado Car"/>
    <w:aliases w:val="h Car,h8 Car,h9 Car,h10 Car,h18 Car,encabezado Car,Encabezado1 Car"/>
    <w:basedOn w:val="Fuentedeprrafopredeter"/>
    <w:link w:val="Encabezado"/>
    <w:uiPriority w:val="99"/>
    <w:rsid w:val="002F0C83"/>
    <w:rPr>
      <w:rFonts w:ascii="Times New Roman" w:hAnsi="Times New Roman" w:eastAsia="Times New Roman" w:cs="Times New Roman"/>
      <w:sz w:val="24"/>
      <w:szCs w:val="24"/>
      <w:lang w:val="es-ES" w:eastAsia="es-ES"/>
    </w:rPr>
  </w:style>
  <w:style w:type="paragraph" w:styleId="NormalWeb">
    <w:name w:val="Normal (Web)"/>
    <w:aliases w:val="Normal (Web) Car Car,Normal (Web) Car Car Car,Normal (Web) Car,Normal (Web) Car Car Car Car Car Car,Normal (Web) Car Car Car Car Car Car Car Car Car"/>
    <w:basedOn w:val="Normal"/>
    <w:uiPriority w:val="99"/>
    <w:qFormat/>
    <w:rsid w:val="002F0C83"/>
    <w:pPr>
      <w:spacing w:before="100" w:beforeAutospacing="1" w:after="100" w:afterAutospacing="1"/>
    </w:p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rsid w:val="002F0C83"/>
    <w:pPr>
      <w:ind w:left="708"/>
    </w:pPr>
  </w:style>
  <w:style w:type="paragraph" w:styleId="BodyText34" w:customStyle="1">
    <w:name w:val="Body Text 34"/>
    <w:basedOn w:val="Normal"/>
    <w:uiPriority w:val="99"/>
    <w:rsid w:val="002F0C83"/>
    <w:pPr>
      <w:jc w:val="both"/>
    </w:pPr>
    <w:rPr>
      <w:rFonts w:ascii="Arial" w:hAnsi="Arial"/>
      <w:b/>
      <w:szCs w:val="20"/>
    </w:rPr>
  </w:style>
  <w:style w:type="paragraph" w:styleId="MARITZA3" w:customStyle="1">
    <w:name w:val="MARITZA3"/>
    <w:uiPriority w:val="99"/>
    <w:rsid w:val="002F0C83"/>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ar-SA"/>
    </w:rPr>
  </w:style>
  <w:style w:type="paragraph" w:styleId="Sinespaciado">
    <w:name w:val="No Spacing"/>
    <w:aliases w:val="Encabezado CCE"/>
    <w:link w:val="SinespaciadoCar"/>
    <w:uiPriority w:val="1"/>
    <w:qFormat/>
    <w:rsid w:val="002F0C83"/>
    <w:pPr>
      <w:spacing w:after="0" w:line="240" w:lineRule="auto"/>
    </w:pPr>
    <w:rPr>
      <w:rFonts w:ascii="Calibri" w:hAnsi="Calibri" w:eastAsia="Times New Roman" w:cs="Times New Roman"/>
      <w:lang w:val="es-ES"/>
    </w:r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2F0C83"/>
    <w:rPr>
      <w:rFonts w:ascii="Times New Roman" w:hAnsi="Times New Roman" w:eastAsia="Times New Roman" w:cs="Times New Roman"/>
      <w:sz w:val="24"/>
      <w:szCs w:val="24"/>
      <w:lang w:val="es-ES" w:eastAsia="es-ES"/>
    </w:rPr>
  </w:style>
  <w:style w:type="paragraph" w:styleId="western" w:customStyle="1">
    <w:name w:val="western"/>
    <w:basedOn w:val="Normal"/>
    <w:uiPriority w:val="99"/>
    <w:rsid w:val="002F0C83"/>
    <w:pPr>
      <w:suppressAutoHyphens/>
      <w:spacing w:before="280" w:after="280"/>
    </w:pPr>
    <w:rPr>
      <w:lang w:val="es-CO" w:eastAsia="zh-CN"/>
    </w:rPr>
  </w:style>
  <w:style w:type="character" w:styleId="SinespaciadoCar" w:customStyle="1">
    <w:name w:val="Sin espaciado Car"/>
    <w:aliases w:val="Encabezado CCE Car"/>
    <w:link w:val="Sinespaciado"/>
    <w:uiPriority w:val="1"/>
    <w:qFormat/>
    <w:locked/>
    <w:rsid w:val="002F0C83"/>
    <w:rPr>
      <w:rFonts w:ascii="Calibri" w:hAnsi="Calibri" w:eastAsia="Times New Roman" w:cs="Times New Roman"/>
      <w:lang w:val="es-ES"/>
    </w:rPr>
  </w:style>
  <w:style w:type="paragraph" w:styleId="Piedepgina">
    <w:name w:val="footer"/>
    <w:basedOn w:val="Normal"/>
    <w:link w:val="PiedepginaCar"/>
    <w:uiPriority w:val="99"/>
    <w:unhideWhenUsed/>
    <w:rsid w:val="00DE6F57"/>
    <w:pPr>
      <w:tabs>
        <w:tab w:val="center" w:pos="4419"/>
        <w:tab w:val="right" w:pos="8838"/>
      </w:tabs>
    </w:pPr>
  </w:style>
  <w:style w:type="character" w:styleId="PiedepginaCar" w:customStyle="1">
    <w:name w:val="Pie de página Car"/>
    <w:basedOn w:val="Fuentedeprrafopredeter"/>
    <w:link w:val="Piedepgina"/>
    <w:uiPriority w:val="99"/>
    <w:rsid w:val="00DE6F57"/>
    <w:rPr>
      <w:rFonts w:ascii="Times New Roman" w:hAnsi="Times New Roman" w:eastAsia="Times New Roman" w:cs="Times New Roman"/>
      <w:sz w:val="24"/>
      <w:szCs w:val="24"/>
      <w:lang w:val="es-ES" w:eastAsia="es-ES"/>
    </w:rPr>
  </w:style>
  <w:style w:type="paragraph" w:styleId="Textodeglobo">
    <w:name w:val="Balloon Text"/>
    <w:basedOn w:val="Normal"/>
    <w:link w:val="TextodegloboCar"/>
    <w:uiPriority w:val="99"/>
    <w:semiHidden/>
    <w:unhideWhenUsed/>
    <w:rsid w:val="00D36802"/>
    <w:rPr>
      <w:rFonts w:ascii="Tahoma" w:hAnsi="Tahoma" w:cs="Tahoma"/>
      <w:sz w:val="16"/>
      <w:szCs w:val="16"/>
    </w:rPr>
  </w:style>
  <w:style w:type="character" w:styleId="TextodegloboCar" w:customStyle="1">
    <w:name w:val="Texto de globo Car"/>
    <w:basedOn w:val="Fuentedeprrafopredeter"/>
    <w:link w:val="Textodeglobo"/>
    <w:uiPriority w:val="99"/>
    <w:semiHidden/>
    <w:rsid w:val="00D36802"/>
    <w:rPr>
      <w:rFonts w:ascii="Tahoma" w:hAnsi="Tahoma" w:eastAsia="Times New Roman" w:cs="Tahoma"/>
      <w:sz w:val="16"/>
      <w:szCs w:val="16"/>
      <w:lang w:val="es-ES" w:eastAsia="es-ES"/>
    </w:rPr>
  </w:style>
  <w:style w:type="paragraph" w:styleId="Default" w:customStyle="1">
    <w:name w:val="Default"/>
    <w:link w:val="DefaultCar"/>
    <w:qFormat/>
    <w:rsid w:val="00D55A5D"/>
    <w:pPr>
      <w:autoSpaceDE w:val="0"/>
      <w:autoSpaceDN w:val="0"/>
      <w:adjustRightInd w:val="0"/>
      <w:spacing w:after="0" w:line="240" w:lineRule="auto"/>
    </w:pPr>
    <w:rPr>
      <w:rFonts w:ascii="Arial Narrow" w:hAnsi="Arial Narrow" w:eastAsia="Times New Roman" w:cs="Arial Narrow"/>
      <w:color w:val="000000"/>
      <w:sz w:val="24"/>
      <w:szCs w:val="24"/>
      <w:lang w:eastAsia="es-CO"/>
    </w:rPr>
  </w:style>
  <w:style w:type="character" w:styleId="DefaultCar" w:customStyle="1">
    <w:name w:val="Default Car"/>
    <w:link w:val="Default"/>
    <w:uiPriority w:val="99"/>
    <w:locked/>
    <w:rsid w:val="00D55A5D"/>
    <w:rPr>
      <w:rFonts w:ascii="Arial Narrow" w:hAnsi="Arial Narrow" w:eastAsia="Times New Roman" w:cs="Arial Narrow"/>
      <w:color w:val="000000"/>
      <w:sz w:val="24"/>
      <w:szCs w:val="24"/>
      <w:lang w:eastAsia="es-CO"/>
    </w:rPr>
  </w:style>
  <w:style w:type="character" w:styleId="Hipervnculo">
    <w:name w:val="Hyperlink"/>
    <w:uiPriority w:val="99"/>
    <w:rsid w:val="00682F61"/>
    <w:rPr>
      <w:rFonts w:cs="Times New Roman"/>
      <w:color w:val="0000FF"/>
      <w:u w:val="single"/>
    </w:rPr>
  </w:style>
  <w:style w:type="character" w:styleId="Refdecomentario">
    <w:name w:val="annotation reference"/>
    <w:basedOn w:val="Fuentedeprrafopredeter"/>
    <w:uiPriority w:val="99"/>
    <w:semiHidden/>
    <w:unhideWhenUsed/>
    <w:rsid w:val="00D94EDC"/>
    <w:rPr>
      <w:sz w:val="16"/>
      <w:szCs w:val="16"/>
    </w:rPr>
  </w:style>
  <w:style w:type="paragraph" w:styleId="Textocomentario">
    <w:name w:val="annotation text"/>
    <w:basedOn w:val="Normal"/>
    <w:link w:val="TextocomentarioCar"/>
    <w:uiPriority w:val="99"/>
    <w:unhideWhenUsed/>
    <w:qFormat/>
    <w:rsid w:val="00D94EDC"/>
    <w:rPr>
      <w:sz w:val="20"/>
      <w:szCs w:val="20"/>
    </w:rPr>
  </w:style>
  <w:style w:type="character" w:styleId="TextocomentarioCar" w:customStyle="1">
    <w:name w:val="Texto comentario Car"/>
    <w:basedOn w:val="Fuentedeprrafopredeter"/>
    <w:link w:val="Textocomentario"/>
    <w:uiPriority w:val="99"/>
    <w:rsid w:val="00D94EDC"/>
    <w:rPr>
      <w:rFonts w:ascii="Times New Roman" w:hAnsi="Times New Roman" w:eastAsia="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D94EDC"/>
    <w:rPr>
      <w:b/>
      <w:bCs/>
    </w:rPr>
  </w:style>
  <w:style w:type="character" w:styleId="AsuntodelcomentarioCar" w:customStyle="1">
    <w:name w:val="Asunto del comentario Car"/>
    <w:basedOn w:val="TextocomentarioCar"/>
    <w:link w:val="Asuntodelcomentario"/>
    <w:uiPriority w:val="99"/>
    <w:semiHidden/>
    <w:rsid w:val="00D94EDC"/>
    <w:rPr>
      <w:rFonts w:ascii="Times New Roman" w:hAnsi="Times New Roman" w:eastAsia="Times New Roman" w:cs="Times New Roman"/>
      <w:b/>
      <w:bCs/>
      <w:sz w:val="20"/>
      <w:szCs w:val="20"/>
      <w:lang w:val="es-ES" w:eastAsia="es-ES"/>
    </w:rPr>
  </w:style>
  <w:style w:type="paragraph" w:styleId="Direccininterior" w:customStyle="1">
    <w:name w:val="Dirección interior"/>
    <w:basedOn w:val="Normal"/>
    <w:rsid w:val="000A7987"/>
    <w:pPr>
      <w:spacing w:line="240" w:lineRule="atLeast"/>
      <w:jc w:val="both"/>
    </w:pPr>
    <w:rPr>
      <w:rFonts w:ascii="Garamond" w:hAnsi="Garamond"/>
      <w:kern w:val="18"/>
      <w:sz w:val="20"/>
      <w:szCs w:val="20"/>
    </w:rPr>
  </w:style>
  <w:style w:type="paragraph" w:styleId="Sangradetextonormal">
    <w:name w:val="Body Text Indent"/>
    <w:basedOn w:val="Normal"/>
    <w:link w:val="SangradetextonormalCar"/>
    <w:uiPriority w:val="99"/>
    <w:unhideWhenUsed/>
    <w:rsid w:val="00B73B27"/>
    <w:pPr>
      <w:spacing w:after="120"/>
      <w:ind w:left="283"/>
    </w:pPr>
  </w:style>
  <w:style w:type="character" w:styleId="SangradetextonormalCar" w:customStyle="1">
    <w:name w:val="Sangría de texto normal Car"/>
    <w:basedOn w:val="Fuentedeprrafopredeter"/>
    <w:link w:val="Sangradetextonormal"/>
    <w:uiPriority w:val="99"/>
    <w:rsid w:val="00B73B27"/>
    <w:rPr>
      <w:rFonts w:ascii="Times New Roman" w:hAnsi="Times New Roman" w:eastAsia="Times New Roman" w:cs="Times New Roman"/>
      <w:sz w:val="24"/>
      <w:szCs w:val="24"/>
      <w:lang w:val="es-ES" w:eastAsia="es-ES"/>
    </w:rPr>
  </w:style>
  <w:style w:type="character" w:styleId="Ttulo1Car" w:customStyle="1">
    <w:name w:val="Título 1 Car"/>
    <w:basedOn w:val="Fuentedeprrafopredeter"/>
    <w:link w:val="Ttulo1"/>
    <w:uiPriority w:val="9"/>
    <w:rsid w:val="00A952A2"/>
    <w:rPr>
      <w:rFonts w:ascii="Arial" w:hAnsi="Arial" w:eastAsia="Times New Roman" w:cs="Arial"/>
      <w:b/>
      <w:sz w:val="21"/>
      <w:szCs w:val="21"/>
      <w:lang w:eastAsia="es-CO"/>
    </w:rPr>
  </w:style>
  <w:style w:type="character" w:styleId="Ttulo2Car" w:customStyle="1">
    <w:name w:val="Título 2 Car"/>
    <w:basedOn w:val="Fuentedeprrafopredeter"/>
    <w:link w:val="Ttulo2"/>
    <w:uiPriority w:val="9"/>
    <w:rsid w:val="00A952A2"/>
    <w:rPr>
      <w:rFonts w:ascii="Arial" w:hAnsi="Arial" w:eastAsia="Times New Roman" w:cs="Arial"/>
      <w:b/>
      <w:color w:val="000000"/>
      <w:sz w:val="21"/>
      <w:szCs w:val="21"/>
      <w:lang w:eastAsia="es-ES"/>
    </w:rPr>
  </w:style>
  <w:style w:type="paragraph" w:styleId="xmsonormal" w:customStyle="1">
    <w:name w:val="x_msonormal"/>
    <w:basedOn w:val="Normal"/>
    <w:rsid w:val="00E10EB4"/>
    <w:pPr>
      <w:spacing w:before="100" w:beforeAutospacing="1" w:after="100" w:afterAutospacing="1"/>
    </w:pPr>
    <w:rPr>
      <w:lang w:val="es-CO" w:eastAsia="es-CO"/>
    </w:rPr>
  </w:style>
  <w:style w:type="paragraph" w:styleId="Revisin">
    <w:name w:val="Revision"/>
    <w:hidden/>
    <w:uiPriority w:val="99"/>
    <w:semiHidden/>
    <w:rsid w:val="006648CF"/>
    <w:pPr>
      <w:spacing w:after="0" w:line="240" w:lineRule="auto"/>
    </w:pPr>
    <w:rPr>
      <w:rFonts w:ascii="Times New Roman" w:hAnsi="Times New Roman" w:eastAsia="Times New Roman" w:cs="Times New Roman"/>
      <w:sz w:val="24"/>
      <w:szCs w:val="24"/>
      <w:lang w:val="es-ES" w:eastAsia="es-ES"/>
    </w:rPr>
  </w:style>
  <w:style w:type="paragraph" w:styleId="xmsobodytext2" w:customStyle="1">
    <w:name w:val="x_msobodytext2"/>
    <w:basedOn w:val="Normal"/>
    <w:rsid w:val="00ED2139"/>
    <w:pPr>
      <w:spacing w:before="100" w:beforeAutospacing="1" w:after="100" w:afterAutospacing="1"/>
    </w:pPr>
    <w:rPr>
      <w:lang w:val="es-CO" w:eastAsia="es-CO"/>
    </w:rPr>
  </w:style>
  <w:style w:type="character" w:styleId="marknaad84c0s" w:customStyle="1">
    <w:name w:val="marknaad84c0s"/>
    <w:basedOn w:val="Fuentedeprrafopredeter"/>
    <w:rsid w:val="00ED2139"/>
  </w:style>
  <w:style w:type="table" w:styleId="Tablaconcuadrcula">
    <w:name w:val="Table Grid"/>
    <w:basedOn w:val="Tablanormal"/>
    <w:uiPriority w:val="59"/>
    <w:rsid w:val="0053627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cinsinresolver1" w:customStyle="1">
    <w:name w:val="Mención sin resolver1"/>
    <w:basedOn w:val="Fuentedeprrafopredeter"/>
    <w:uiPriority w:val="99"/>
    <w:semiHidden/>
    <w:unhideWhenUsed/>
    <w:rsid w:val="001D12AA"/>
    <w:rPr>
      <w:color w:val="605E5C"/>
      <w:shd w:val="clear" w:color="auto" w:fill="E1DFDD"/>
    </w:rPr>
  </w:style>
  <w:style w:type="character" w:styleId="Refdenotaalpie">
    <w:name w:val="footnote reference"/>
    <w:aliases w:val="referencia nota al pie,Texto de nota al pie,Nota de pie,Texto nota al pie,Appel note de bas de page,Ref,de nota al pie,Referencia nota al pie,BVI fnr,BVI fnr Car Car,BVI fnr Car,BVI fnr Car Car Car Car,Footnotes refss,Footnote,f,R,FC"/>
    <w:uiPriority w:val="99"/>
    <w:qFormat/>
    <w:rsid w:val="001D12AA"/>
    <w:rPr>
      <w:vertAlign w:val="superscript"/>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Ca,Texto nota pie Car1"/>
    <w:basedOn w:val="Normal"/>
    <w:link w:val="TextonotapieCar"/>
    <w:uiPriority w:val="99"/>
    <w:unhideWhenUsed/>
    <w:qFormat/>
    <w:rsid w:val="001D12AA"/>
    <w:pPr>
      <w:spacing w:after="200" w:line="276" w:lineRule="auto"/>
      <w:jc w:val="both"/>
    </w:pPr>
    <w:rPr>
      <w:rFonts w:ascii="Arial" w:hAnsi="Arial" w:eastAsia="Calibri"/>
      <w:sz w:val="20"/>
      <w:szCs w:val="20"/>
      <w:lang w:val="x-none" w:eastAsia="en-US"/>
    </w:rPr>
  </w:style>
  <w:style w:type="character" w:styleId="TextonotapieCar" w:customStyle="1">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rsid w:val="001D12AA"/>
    <w:rPr>
      <w:rFonts w:ascii="Arial" w:hAnsi="Arial" w:eastAsia="Calibri" w:cs="Times New Roman"/>
      <w:sz w:val="20"/>
      <w:szCs w:val="20"/>
      <w:lang w:val="x-none"/>
    </w:rPr>
  </w:style>
  <w:style w:type="paragraph" w:styleId="mt-3" w:customStyle="1">
    <w:name w:val="mt-3"/>
    <w:basedOn w:val="Normal"/>
    <w:rsid w:val="00346093"/>
    <w:pPr>
      <w:spacing w:before="100" w:beforeAutospacing="1" w:after="100" w:afterAutospacing="1"/>
    </w:pPr>
    <w:rPr>
      <w:lang w:val="es-CO" w:eastAsia="es-CO"/>
    </w:rPr>
  </w:style>
  <w:style w:type="character" w:styleId="vortalspan" w:customStyle="1">
    <w:name w:val="vortalspan"/>
    <w:basedOn w:val="Fuentedeprrafopredeter"/>
    <w:rsid w:val="00CF62CF"/>
  </w:style>
  <w:style w:type="paragraph" w:styleId="TDC1">
    <w:name w:val="toc 1"/>
    <w:basedOn w:val="Normal"/>
    <w:next w:val="Normal"/>
    <w:autoRedefine/>
    <w:uiPriority w:val="39"/>
    <w:unhideWhenUsed/>
    <w:rsid w:val="00992EDA"/>
    <w:pPr>
      <w:spacing w:after="100" w:line="259" w:lineRule="auto"/>
    </w:pPr>
    <w:rPr>
      <w:rFonts w:asciiTheme="minorHAnsi" w:hAnsiTheme="minorHAnsi" w:eastAsiaTheme="minorHAnsi" w:cstheme="minorBidi"/>
      <w:sz w:val="22"/>
      <w:szCs w:val="22"/>
      <w:lang w:val="es-CO" w:eastAsia="en-US"/>
    </w:rPr>
  </w:style>
  <w:style w:type="paragraph" w:styleId="TDC2">
    <w:name w:val="toc 2"/>
    <w:basedOn w:val="Normal"/>
    <w:next w:val="Normal"/>
    <w:autoRedefine/>
    <w:uiPriority w:val="39"/>
    <w:unhideWhenUsed/>
    <w:rsid w:val="00992EDA"/>
    <w:pPr>
      <w:spacing w:after="100" w:line="259" w:lineRule="auto"/>
      <w:ind w:left="220"/>
    </w:pPr>
    <w:rPr>
      <w:rFonts w:asciiTheme="minorHAnsi" w:hAnsiTheme="minorHAnsi" w:eastAsiaTheme="minorEastAsia"/>
      <w:sz w:val="22"/>
      <w:szCs w:val="22"/>
      <w:lang w:val="es-CO" w:eastAsia="es-CO"/>
    </w:rPr>
  </w:style>
  <w:style w:type="paragraph" w:styleId="TDC3">
    <w:name w:val="toc 3"/>
    <w:basedOn w:val="Normal"/>
    <w:next w:val="Normal"/>
    <w:autoRedefine/>
    <w:uiPriority w:val="39"/>
    <w:unhideWhenUsed/>
    <w:rsid w:val="00992EDA"/>
    <w:pPr>
      <w:spacing w:after="100" w:line="259" w:lineRule="auto"/>
      <w:ind w:left="440"/>
    </w:pPr>
    <w:rPr>
      <w:rFonts w:asciiTheme="minorHAnsi" w:hAnsiTheme="minorHAnsi" w:eastAsiaTheme="minorEastAsia"/>
      <w:sz w:val="22"/>
      <w:szCs w:val="22"/>
      <w:lang w:val="es-CO" w:eastAsia="es-CO"/>
    </w:rPr>
  </w:style>
  <w:style w:type="character" w:styleId="Mencinsinresolver2" w:customStyle="1">
    <w:name w:val="Mención sin resolver2"/>
    <w:basedOn w:val="Fuentedeprrafopredeter"/>
    <w:uiPriority w:val="99"/>
    <w:semiHidden/>
    <w:unhideWhenUsed/>
    <w:rsid w:val="00E227E7"/>
    <w:rPr>
      <w:color w:val="605E5C"/>
      <w:shd w:val="clear" w:color="auto" w:fill="E1DFDD"/>
    </w:rPr>
  </w:style>
  <w:style w:type="character" w:styleId="Textoennegrita">
    <w:name w:val="Strong"/>
    <w:basedOn w:val="Fuentedeprrafopredeter"/>
    <w:uiPriority w:val="22"/>
    <w:qFormat/>
    <w:rsid w:val="00F10B08"/>
    <w:rPr>
      <w:b/>
      <w:bCs/>
    </w:rPr>
  </w:style>
  <w:style w:type="character" w:styleId="xcf0" w:customStyle="1">
    <w:name w:val="x_cf0"/>
    <w:basedOn w:val="Fuentedeprrafopredeter"/>
    <w:rsid w:val="00557A4E"/>
  </w:style>
  <w:style w:type="character" w:styleId="Mencionar1" w:customStyle="1">
    <w:name w:val="Mencionar1"/>
    <w:basedOn w:val="Fuentedeprrafopredeter"/>
    <w:uiPriority w:val="99"/>
    <w:unhideWhenUsed/>
    <w:rPr>
      <w:color w:val="2B579A"/>
      <w:shd w:val="clear" w:color="auto" w:fill="E6E6E6"/>
    </w:rPr>
  </w:style>
  <w:style w:type="character" w:styleId="Mencinsinresolver3" w:customStyle="1">
    <w:name w:val="Mención sin resolver3"/>
    <w:basedOn w:val="Fuentedeprrafopredeter"/>
    <w:uiPriority w:val="99"/>
    <w:semiHidden/>
    <w:unhideWhenUsed/>
    <w:rsid w:val="00731B2D"/>
    <w:rPr>
      <w:color w:val="605E5C"/>
      <w:shd w:val="clear" w:color="auto" w:fill="E1DFDD"/>
    </w:rPr>
  </w:style>
  <w:style w:type="paragraph" w:styleId="paragraph" w:customStyle="1">
    <w:name w:val="paragraph"/>
    <w:basedOn w:val="Normal"/>
    <w:rsid w:val="00B42A31"/>
    <w:pPr>
      <w:spacing w:before="100" w:beforeAutospacing="1" w:after="100" w:afterAutospacing="1"/>
    </w:pPr>
    <w:rPr>
      <w:lang w:val="es-CO" w:eastAsia="es-CO"/>
    </w:rPr>
  </w:style>
  <w:style w:type="character" w:styleId="normaltextrun" w:customStyle="1">
    <w:name w:val="normaltextrun"/>
    <w:basedOn w:val="Fuentedeprrafopredeter"/>
    <w:rsid w:val="00B42A31"/>
  </w:style>
  <w:style w:type="character" w:styleId="eop" w:customStyle="1">
    <w:name w:val="eop"/>
    <w:basedOn w:val="Fuentedeprrafopredeter"/>
    <w:rsid w:val="00B42A31"/>
  </w:style>
  <w:style w:type="character" w:styleId="Hipervnculovisitado">
    <w:name w:val="FollowedHyperlink"/>
    <w:basedOn w:val="Fuentedeprrafopredeter"/>
    <w:uiPriority w:val="99"/>
    <w:semiHidden/>
    <w:unhideWhenUsed/>
    <w:rsid w:val="001D0535"/>
    <w:rPr>
      <w:color w:val="954F72" w:themeColor="followedHyperlink"/>
      <w:u w:val="single"/>
    </w:rPr>
  </w:style>
  <w:style w:type="character" w:styleId="superscript" w:customStyle="1">
    <w:name w:val="superscript"/>
    <w:basedOn w:val="Fuentedeprrafopredeter"/>
    <w:rsid w:val="0052670A"/>
  </w:style>
  <w:style w:type="paragraph" w:styleId="TableParagraph" w:customStyle="1">
    <w:name w:val="Table Paragraph"/>
    <w:basedOn w:val="Normal"/>
    <w:uiPriority w:val="1"/>
    <w:qFormat/>
    <w:rsid w:val="54DA9842"/>
    <w:pPr>
      <w:widowControl w:val="0"/>
    </w:pPr>
    <w:rPr>
      <w:rFonts w:asciiTheme="minorHAnsi" w:hAnsiTheme="minorHAnsi" w:eastAsiaTheme="minorEastAsia"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271100">
      <w:bodyDiv w:val="1"/>
      <w:marLeft w:val="0"/>
      <w:marRight w:val="0"/>
      <w:marTop w:val="0"/>
      <w:marBottom w:val="0"/>
      <w:divBdr>
        <w:top w:val="none" w:sz="0" w:space="0" w:color="auto"/>
        <w:left w:val="none" w:sz="0" w:space="0" w:color="auto"/>
        <w:bottom w:val="none" w:sz="0" w:space="0" w:color="auto"/>
        <w:right w:val="none" w:sz="0" w:space="0" w:color="auto"/>
      </w:divBdr>
      <w:divsChild>
        <w:div w:id="126557446">
          <w:marLeft w:val="0"/>
          <w:marRight w:val="0"/>
          <w:marTop w:val="0"/>
          <w:marBottom w:val="0"/>
          <w:divBdr>
            <w:top w:val="none" w:sz="0" w:space="0" w:color="auto"/>
            <w:left w:val="none" w:sz="0" w:space="0" w:color="auto"/>
            <w:bottom w:val="none" w:sz="0" w:space="0" w:color="auto"/>
            <w:right w:val="none" w:sz="0" w:space="0" w:color="auto"/>
          </w:divBdr>
        </w:div>
        <w:div w:id="235282917">
          <w:marLeft w:val="0"/>
          <w:marRight w:val="0"/>
          <w:marTop w:val="0"/>
          <w:marBottom w:val="0"/>
          <w:divBdr>
            <w:top w:val="none" w:sz="0" w:space="0" w:color="auto"/>
            <w:left w:val="none" w:sz="0" w:space="0" w:color="auto"/>
            <w:bottom w:val="none" w:sz="0" w:space="0" w:color="auto"/>
            <w:right w:val="none" w:sz="0" w:space="0" w:color="auto"/>
          </w:divBdr>
        </w:div>
        <w:div w:id="292567548">
          <w:marLeft w:val="0"/>
          <w:marRight w:val="0"/>
          <w:marTop w:val="0"/>
          <w:marBottom w:val="0"/>
          <w:divBdr>
            <w:top w:val="none" w:sz="0" w:space="0" w:color="auto"/>
            <w:left w:val="none" w:sz="0" w:space="0" w:color="auto"/>
            <w:bottom w:val="none" w:sz="0" w:space="0" w:color="auto"/>
            <w:right w:val="none" w:sz="0" w:space="0" w:color="auto"/>
          </w:divBdr>
        </w:div>
        <w:div w:id="355621894">
          <w:marLeft w:val="0"/>
          <w:marRight w:val="0"/>
          <w:marTop w:val="0"/>
          <w:marBottom w:val="0"/>
          <w:divBdr>
            <w:top w:val="none" w:sz="0" w:space="0" w:color="auto"/>
            <w:left w:val="none" w:sz="0" w:space="0" w:color="auto"/>
            <w:bottom w:val="none" w:sz="0" w:space="0" w:color="auto"/>
            <w:right w:val="none" w:sz="0" w:space="0" w:color="auto"/>
          </w:divBdr>
        </w:div>
        <w:div w:id="415782897">
          <w:marLeft w:val="0"/>
          <w:marRight w:val="0"/>
          <w:marTop w:val="0"/>
          <w:marBottom w:val="0"/>
          <w:divBdr>
            <w:top w:val="none" w:sz="0" w:space="0" w:color="auto"/>
            <w:left w:val="none" w:sz="0" w:space="0" w:color="auto"/>
            <w:bottom w:val="none" w:sz="0" w:space="0" w:color="auto"/>
            <w:right w:val="none" w:sz="0" w:space="0" w:color="auto"/>
          </w:divBdr>
        </w:div>
        <w:div w:id="697898939">
          <w:marLeft w:val="0"/>
          <w:marRight w:val="0"/>
          <w:marTop w:val="0"/>
          <w:marBottom w:val="0"/>
          <w:divBdr>
            <w:top w:val="none" w:sz="0" w:space="0" w:color="auto"/>
            <w:left w:val="none" w:sz="0" w:space="0" w:color="auto"/>
            <w:bottom w:val="none" w:sz="0" w:space="0" w:color="auto"/>
            <w:right w:val="none" w:sz="0" w:space="0" w:color="auto"/>
          </w:divBdr>
        </w:div>
        <w:div w:id="799104791">
          <w:marLeft w:val="0"/>
          <w:marRight w:val="0"/>
          <w:marTop w:val="0"/>
          <w:marBottom w:val="0"/>
          <w:divBdr>
            <w:top w:val="none" w:sz="0" w:space="0" w:color="auto"/>
            <w:left w:val="none" w:sz="0" w:space="0" w:color="auto"/>
            <w:bottom w:val="none" w:sz="0" w:space="0" w:color="auto"/>
            <w:right w:val="none" w:sz="0" w:space="0" w:color="auto"/>
          </w:divBdr>
        </w:div>
        <w:div w:id="868027439">
          <w:marLeft w:val="0"/>
          <w:marRight w:val="0"/>
          <w:marTop w:val="0"/>
          <w:marBottom w:val="0"/>
          <w:divBdr>
            <w:top w:val="none" w:sz="0" w:space="0" w:color="auto"/>
            <w:left w:val="none" w:sz="0" w:space="0" w:color="auto"/>
            <w:bottom w:val="none" w:sz="0" w:space="0" w:color="auto"/>
            <w:right w:val="none" w:sz="0" w:space="0" w:color="auto"/>
          </w:divBdr>
        </w:div>
        <w:div w:id="1208907235">
          <w:marLeft w:val="0"/>
          <w:marRight w:val="0"/>
          <w:marTop w:val="0"/>
          <w:marBottom w:val="0"/>
          <w:divBdr>
            <w:top w:val="none" w:sz="0" w:space="0" w:color="auto"/>
            <w:left w:val="none" w:sz="0" w:space="0" w:color="auto"/>
            <w:bottom w:val="none" w:sz="0" w:space="0" w:color="auto"/>
            <w:right w:val="none" w:sz="0" w:space="0" w:color="auto"/>
          </w:divBdr>
        </w:div>
        <w:div w:id="1260021730">
          <w:marLeft w:val="0"/>
          <w:marRight w:val="0"/>
          <w:marTop w:val="0"/>
          <w:marBottom w:val="0"/>
          <w:divBdr>
            <w:top w:val="none" w:sz="0" w:space="0" w:color="auto"/>
            <w:left w:val="none" w:sz="0" w:space="0" w:color="auto"/>
            <w:bottom w:val="none" w:sz="0" w:space="0" w:color="auto"/>
            <w:right w:val="none" w:sz="0" w:space="0" w:color="auto"/>
          </w:divBdr>
        </w:div>
        <w:div w:id="1613899363">
          <w:marLeft w:val="0"/>
          <w:marRight w:val="0"/>
          <w:marTop w:val="0"/>
          <w:marBottom w:val="0"/>
          <w:divBdr>
            <w:top w:val="none" w:sz="0" w:space="0" w:color="auto"/>
            <w:left w:val="none" w:sz="0" w:space="0" w:color="auto"/>
            <w:bottom w:val="none" w:sz="0" w:space="0" w:color="auto"/>
            <w:right w:val="none" w:sz="0" w:space="0" w:color="auto"/>
          </w:divBdr>
        </w:div>
        <w:div w:id="1850682915">
          <w:marLeft w:val="0"/>
          <w:marRight w:val="0"/>
          <w:marTop w:val="0"/>
          <w:marBottom w:val="0"/>
          <w:divBdr>
            <w:top w:val="none" w:sz="0" w:space="0" w:color="auto"/>
            <w:left w:val="none" w:sz="0" w:space="0" w:color="auto"/>
            <w:bottom w:val="none" w:sz="0" w:space="0" w:color="auto"/>
            <w:right w:val="none" w:sz="0" w:space="0" w:color="auto"/>
          </w:divBdr>
        </w:div>
        <w:div w:id="1856458312">
          <w:marLeft w:val="0"/>
          <w:marRight w:val="0"/>
          <w:marTop w:val="0"/>
          <w:marBottom w:val="0"/>
          <w:divBdr>
            <w:top w:val="none" w:sz="0" w:space="0" w:color="auto"/>
            <w:left w:val="none" w:sz="0" w:space="0" w:color="auto"/>
            <w:bottom w:val="none" w:sz="0" w:space="0" w:color="auto"/>
            <w:right w:val="none" w:sz="0" w:space="0" w:color="auto"/>
          </w:divBdr>
        </w:div>
        <w:div w:id="1979803746">
          <w:marLeft w:val="0"/>
          <w:marRight w:val="0"/>
          <w:marTop w:val="0"/>
          <w:marBottom w:val="0"/>
          <w:divBdr>
            <w:top w:val="none" w:sz="0" w:space="0" w:color="auto"/>
            <w:left w:val="none" w:sz="0" w:space="0" w:color="auto"/>
            <w:bottom w:val="none" w:sz="0" w:space="0" w:color="auto"/>
            <w:right w:val="none" w:sz="0" w:space="0" w:color="auto"/>
          </w:divBdr>
        </w:div>
        <w:div w:id="2012877945">
          <w:marLeft w:val="0"/>
          <w:marRight w:val="0"/>
          <w:marTop w:val="0"/>
          <w:marBottom w:val="0"/>
          <w:divBdr>
            <w:top w:val="none" w:sz="0" w:space="0" w:color="auto"/>
            <w:left w:val="none" w:sz="0" w:space="0" w:color="auto"/>
            <w:bottom w:val="none" w:sz="0" w:space="0" w:color="auto"/>
            <w:right w:val="none" w:sz="0" w:space="0" w:color="auto"/>
          </w:divBdr>
        </w:div>
        <w:div w:id="2041660545">
          <w:marLeft w:val="0"/>
          <w:marRight w:val="0"/>
          <w:marTop w:val="0"/>
          <w:marBottom w:val="0"/>
          <w:divBdr>
            <w:top w:val="none" w:sz="0" w:space="0" w:color="auto"/>
            <w:left w:val="none" w:sz="0" w:space="0" w:color="auto"/>
            <w:bottom w:val="none" w:sz="0" w:space="0" w:color="auto"/>
            <w:right w:val="none" w:sz="0" w:space="0" w:color="auto"/>
          </w:divBdr>
        </w:div>
        <w:div w:id="2096199204">
          <w:marLeft w:val="0"/>
          <w:marRight w:val="0"/>
          <w:marTop w:val="0"/>
          <w:marBottom w:val="0"/>
          <w:divBdr>
            <w:top w:val="none" w:sz="0" w:space="0" w:color="auto"/>
            <w:left w:val="none" w:sz="0" w:space="0" w:color="auto"/>
            <w:bottom w:val="none" w:sz="0" w:space="0" w:color="auto"/>
            <w:right w:val="none" w:sz="0" w:space="0" w:color="auto"/>
          </w:divBdr>
        </w:div>
      </w:divsChild>
    </w:div>
    <w:div w:id="72360497">
      <w:marLeft w:val="0"/>
      <w:marRight w:val="0"/>
      <w:marTop w:val="0"/>
      <w:marBottom w:val="0"/>
      <w:divBdr>
        <w:top w:val="none" w:sz="0" w:space="0" w:color="auto"/>
        <w:left w:val="none" w:sz="0" w:space="0" w:color="auto"/>
        <w:bottom w:val="none" w:sz="0" w:space="0" w:color="auto"/>
        <w:right w:val="none" w:sz="0" w:space="0" w:color="auto"/>
      </w:divBdr>
      <w:divsChild>
        <w:div w:id="647169691">
          <w:marLeft w:val="0"/>
          <w:marRight w:val="0"/>
          <w:marTop w:val="0"/>
          <w:marBottom w:val="0"/>
          <w:divBdr>
            <w:top w:val="none" w:sz="0" w:space="0" w:color="auto"/>
            <w:left w:val="none" w:sz="0" w:space="0" w:color="auto"/>
            <w:bottom w:val="none" w:sz="0" w:space="0" w:color="auto"/>
            <w:right w:val="none" w:sz="0" w:space="0" w:color="auto"/>
          </w:divBdr>
        </w:div>
      </w:divsChild>
    </w:div>
    <w:div w:id="80376869">
      <w:marLeft w:val="0"/>
      <w:marRight w:val="0"/>
      <w:marTop w:val="0"/>
      <w:marBottom w:val="0"/>
      <w:divBdr>
        <w:top w:val="none" w:sz="0" w:space="0" w:color="auto"/>
        <w:left w:val="none" w:sz="0" w:space="0" w:color="auto"/>
        <w:bottom w:val="none" w:sz="0" w:space="0" w:color="auto"/>
        <w:right w:val="none" w:sz="0" w:space="0" w:color="auto"/>
      </w:divBdr>
      <w:divsChild>
        <w:div w:id="1388914808">
          <w:marLeft w:val="0"/>
          <w:marRight w:val="0"/>
          <w:marTop w:val="0"/>
          <w:marBottom w:val="0"/>
          <w:divBdr>
            <w:top w:val="none" w:sz="0" w:space="0" w:color="auto"/>
            <w:left w:val="none" w:sz="0" w:space="0" w:color="auto"/>
            <w:bottom w:val="none" w:sz="0" w:space="0" w:color="auto"/>
            <w:right w:val="none" w:sz="0" w:space="0" w:color="auto"/>
          </w:divBdr>
        </w:div>
      </w:divsChild>
    </w:div>
    <w:div w:id="106199540">
      <w:marLeft w:val="0"/>
      <w:marRight w:val="0"/>
      <w:marTop w:val="0"/>
      <w:marBottom w:val="0"/>
      <w:divBdr>
        <w:top w:val="none" w:sz="0" w:space="0" w:color="auto"/>
        <w:left w:val="none" w:sz="0" w:space="0" w:color="auto"/>
        <w:bottom w:val="none" w:sz="0" w:space="0" w:color="auto"/>
        <w:right w:val="none" w:sz="0" w:space="0" w:color="auto"/>
      </w:divBdr>
      <w:divsChild>
        <w:div w:id="1545485283">
          <w:marLeft w:val="0"/>
          <w:marRight w:val="0"/>
          <w:marTop w:val="0"/>
          <w:marBottom w:val="0"/>
          <w:divBdr>
            <w:top w:val="none" w:sz="0" w:space="0" w:color="auto"/>
            <w:left w:val="none" w:sz="0" w:space="0" w:color="auto"/>
            <w:bottom w:val="none" w:sz="0" w:space="0" w:color="auto"/>
            <w:right w:val="none" w:sz="0" w:space="0" w:color="auto"/>
          </w:divBdr>
        </w:div>
      </w:divsChild>
    </w:div>
    <w:div w:id="113524913">
      <w:marLeft w:val="0"/>
      <w:marRight w:val="0"/>
      <w:marTop w:val="0"/>
      <w:marBottom w:val="0"/>
      <w:divBdr>
        <w:top w:val="none" w:sz="0" w:space="0" w:color="auto"/>
        <w:left w:val="none" w:sz="0" w:space="0" w:color="auto"/>
        <w:bottom w:val="none" w:sz="0" w:space="0" w:color="auto"/>
        <w:right w:val="none" w:sz="0" w:space="0" w:color="auto"/>
      </w:divBdr>
      <w:divsChild>
        <w:div w:id="266010694">
          <w:marLeft w:val="0"/>
          <w:marRight w:val="0"/>
          <w:marTop w:val="0"/>
          <w:marBottom w:val="0"/>
          <w:divBdr>
            <w:top w:val="none" w:sz="0" w:space="0" w:color="auto"/>
            <w:left w:val="none" w:sz="0" w:space="0" w:color="auto"/>
            <w:bottom w:val="none" w:sz="0" w:space="0" w:color="auto"/>
            <w:right w:val="none" w:sz="0" w:space="0" w:color="auto"/>
          </w:divBdr>
        </w:div>
      </w:divsChild>
    </w:div>
    <w:div w:id="200828146">
      <w:marLeft w:val="0"/>
      <w:marRight w:val="0"/>
      <w:marTop w:val="0"/>
      <w:marBottom w:val="0"/>
      <w:divBdr>
        <w:top w:val="none" w:sz="0" w:space="0" w:color="auto"/>
        <w:left w:val="none" w:sz="0" w:space="0" w:color="auto"/>
        <w:bottom w:val="none" w:sz="0" w:space="0" w:color="auto"/>
        <w:right w:val="none" w:sz="0" w:space="0" w:color="auto"/>
      </w:divBdr>
      <w:divsChild>
        <w:div w:id="1328946098">
          <w:marLeft w:val="0"/>
          <w:marRight w:val="0"/>
          <w:marTop w:val="0"/>
          <w:marBottom w:val="0"/>
          <w:divBdr>
            <w:top w:val="none" w:sz="0" w:space="0" w:color="auto"/>
            <w:left w:val="none" w:sz="0" w:space="0" w:color="auto"/>
            <w:bottom w:val="none" w:sz="0" w:space="0" w:color="auto"/>
            <w:right w:val="none" w:sz="0" w:space="0" w:color="auto"/>
          </w:divBdr>
        </w:div>
      </w:divsChild>
    </w:div>
    <w:div w:id="225576287">
      <w:bodyDiv w:val="1"/>
      <w:marLeft w:val="0"/>
      <w:marRight w:val="0"/>
      <w:marTop w:val="0"/>
      <w:marBottom w:val="0"/>
      <w:divBdr>
        <w:top w:val="none" w:sz="0" w:space="0" w:color="auto"/>
        <w:left w:val="none" w:sz="0" w:space="0" w:color="auto"/>
        <w:bottom w:val="none" w:sz="0" w:space="0" w:color="auto"/>
        <w:right w:val="none" w:sz="0" w:space="0" w:color="auto"/>
      </w:divBdr>
    </w:div>
    <w:div w:id="242032871">
      <w:marLeft w:val="0"/>
      <w:marRight w:val="0"/>
      <w:marTop w:val="0"/>
      <w:marBottom w:val="0"/>
      <w:divBdr>
        <w:top w:val="none" w:sz="0" w:space="0" w:color="auto"/>
        <w:left w:val="none" w:sz="0" w:space="0" w:color="auto"/>
        <w:bottom w:val="none" w:sz="0" w:space="0" w:color="auto"/>
        <w:right w:val="none" w:sz="0" w:space="0" w:color="auto"/>
      </w:divBdr>
      <w:divsChild>
        <w:div w:id="1447043235">
          <w:marLeft w:val="0"/>
          <w:marRight w:val="0"/>
          <w:marTop w:val="0"/>
          <w:marBottom w:val="0"/>
          <w:divBdr>
            <w:top w:val="none" w:sz="0" w:space="0" w:color="auto"/>
            <w:left w:val="none" w:sz="0" w:space="0" w:color="auto"/>
            <w:bottom w:val="none" w:sz="0" w:space="0" w:color="auto"/>
            <w:right w:val="none" w:sz="0" w:space="0" w:color="auto"/>
          </w:divBdr>
        </w:div>
      </w:divsChild>
    </w:div>
    <w:div w:id="254361846">
      <w:marLeft w:val="0"/>
      <w:marRight w:val="0"/>
      <w:marTop w:val="0"/>
      <w:marBottom w:val="0"/>
      <w:divBdr>
        <w:top w:val="none" w:sz="0" w:space="0" w:color="auto"/>
        <w:left w:val="none" w:sz="0" w:space="0" w:color="auto"/>
        <w:bottom w:val="none" w:sz="0" w:space="0" w:color="auto"/>
        <w:right w:val="none" w:sz="0" w:space="0" w:color="auto"/>
      </w:divBdr>
      <w:divsChild>
        <w:div w:id="159664440">
          <w:marLeft w:val="0"/>
          <w:marRight w:val="0"/>
          <w:marTop w:val="0"/>
          <w:marBottom w:val="0"/>
          <w:divBdr>
            <w:top w:val="none" w:sz="0" w:space="0" w:color="auto"/>
            <w:left w:val="none" w:sz="0" w:space="0" w:color="auto"/>
            <w:bottom w:val="none" w:sz="0" w:space="0" w:color="auto"/>
            <w:right w:val="none" w:sz="0" w:space="0" w:color="auto"/>
          </w:divBdr>
        </w:div>
      </w:divsChild>
    </w:div>
    <w:div w:id="255330867">
      <w:marLeft w:val="0"/>
      <w:marRight w:val="0"/>
      <w:marTop w:val="0"/>
      <w:marBottom w:val="0"/>
      <w:divBdr>
        <w:top w:val="none" w:sz="0" w:space="0" w:color="auto"/>
        <w:left w:val="none" w:sz="0" w:space="0" w:color="auto"/>
        <w:bottom w:val="none" w:sz="0" w:space="0" w:color="auto"/>
        <w:right w:val="none" w:sz="0" w:space="0" w:color="auto"/>
      </w:divBdr>
      <w:divsChild>
        <w:div w:id="1379470511">
          <w:marLeft w:val="0"/>
          <w:marRight w:val="0"/>
          <w:marTop w:val="0"/>
          <w:marBottom w:val="0"/>
          <w:divBdr>
            <w:top w:val="none" w:sz="0" w:space="0" w:color="auto"/>
            <w:left w:val="none" w:sz="0" w:space="0" w:color="auto"/>
            <w:bottom w:val="none" w:sz="0" w:space="0" w:color="auto"/>
            <w:right w:val="none" w:sz="0" w:space="0" w:color="auto"/>
          </w:divBdr>
        </w:div>
      </w:divsChild>
    </w:div>
    <w:div w:id="258681845">
      <w:marLeft w:val="0"/>
      <w:marRight w:val="0"/>
      <w:marTop w:val="0"/>
      <w:marBottom w:val="0"/>
      <w:divBdr>
        <w:top w:val="none" w:sz="0" w:space="0" w:color="auto"/>
        <w:left w:val="none" w:sz="0" w:space="0" w:color="auto"/>
        <w:bottom w:val="none" w:sz="0" w:space="0" w:color="auto"/>
        <w:right w:val="none" w:sz="0" w:space="0" w:color="auto"/>
      </w:divBdr>
      <w:divsChild>
        <w:div w:id="540016920">
          <w:marLeft w:val="0"/>
          <w:marRight w:val="0"/>
          <w:marTop w:val="0"/>
          <w:marBottom w:val="0"/>
          <w:divBdr>
            <w:top w:val="none" w:sz="0" w:space="0" w:color="auto"/>
            <w:left w:val="none" w:sz="0" w:space="0" w:color="auto"/>
            <w:bottom w:val="none" w:sz="0" w:space="0" w:color="auto"/>
            <w:right w:val="none" w:sz="0" w:space="0" w:color="auto"/>
          </w:divBdr>
        </w:div>
      </w:divsChild>
    </w:div>
    <w:div w:id="269818655">
      <w:marLeft w:val="0"/>
      <w:marRight w:val="0"/>
      <w:marTop w:val="0"/>
      <w:marBottom w:val="0"/>
      <w:divBdr>
        <w:top w:val="none" w:sz="0" w:space="0" w:color="auto"/>
        <w:left w:val="none" w:sz="0" w:space="0" w:color="auto"/>
        <w:bottom w:val="none" w:sz="0" w:space="0" w:color="auto"/>
        <w:right w:val="none" w:sz="0" w:space="0" w:color="auto"/>
      </w:divBdr>
      <w:divsChild>
        <w:div w:id="1700740414">
          <w:marLeft w:val="0"/>
          <w:marRight w:val="0"/>
          <w:marTop w:val="0"/>
          <w:marBottom w:val="0"/>
          <w:divBdr>
            <w:top w:val="none" w:sz="0" w:space="0" w:color="auto"/>
            <w:left w:val="none" w:sz="0" w:space="0" w:color="auto"/>
            <w:bottom w:val="none" w:sz="0" w:space="0" w:color="auto"/>
            <w:right w:val="none" w:sz="0" w:space="0" w:color="auto"/>
          </w:divBdr>
        </w:div>
      </w:divsChild>
    </w:div>
    <w:div w:id="301272680">
      <w:marLeft w:val="0"/>
      <w:marRight w:val="0"/>
      <w:marTop w:val="0"/>
      <w:marBottom w:val="0"/>
      <w:divBdr>
        <w:top w:val="none" w:sz="0" w:space="0" w:color="auto"/>
        <w:left w:val="none" w:sz="0" w:space="0" w:color="auto"/>
        <w:bottom w:val="none" w:sz="0" w:space="0" w:color="auto"/>
        <w:right w:val="none" w:sz="0" w:space="0" w:color="auto"/>
      </w:divBdr>
      <w:divsChild>
        <w:div w:id="1890070161">
          <w:marLeft w:val="0"/>
          <w:marRight w:val="0"/>
          <w:marTop w:val="0"/>
          <w:marBottom w:val="0"/>
          <w:divBdr>
            <w:top w:val="none" w:sz="0" w:space="0" w:color="auto"/>
            <w:left w:val="none" w:sz="0" w:space="0" w:color="auto"/>
            <w:bottom w:val="none" w:sz="0" w:space="0" w:color="auto"/>
            <w:right w:val="none" w:sz="0" w:space="0" w:color="auto"/>
          </w:divBdr>
        </w:div>
      </w:divsChild>
    </w:div>
    <w:div w:id="343557086">
      <w:bodyDiv w:val="1"/>
      <w:marLeft w:val="0"/>
      <w:marRight w:val="0"/>
      <w:marTop w:val="0"/>
      <w:marBottom w:val="0"/>
      <w:divBdr>
        <w:top w:val="none" w:sz="0" w:space="0" w:color="auto"/>
        <w:left w:val="none" w:sz="0" w:space="0" w:color="auto"/>
        <w:bottom w:val="none" w:sz="0" w:space="0" w:color="auto"/>
        <w:right w:val="none" w:sz="0" w:space="0" w:color="auto"/>
      </w:divBdr>
      <w:divsChild>
        <w:div w:id="129984670">
          <w:marLeft w:val="0"/>
          <w:marRight w:val="0"/>
          <w:marTop w:val="0"/>
          <w:marBottom w:val="0"/>
          <w:divBdr>
            <w:top w:val="none" w:sz="0" w:space="0" w:color="auto"/>
            <w:left w:val="none" w:sz="0" w:space="0" w:color="auto"/>
            <w:bottom w:val="none" w:sz="0" w:space="0" w:color="auto"/>
            <w:right w:val="none" w:sz="0" w:space="0" w:color="auto"/>
          </w:divBdr>
          <w:divsChild>
            <w:div w:id="1997758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698853">
      <w:bodyDiv w:val="1"/>
      <w:marLeft w:val="0"/>
      <w:marRight w:val="0"/>
      <w:marTop w:val="0"/>
      <w:marBottom w:val="0"/>
      <w:divBdr>
        <w:top w:val="none" w:sz="0" w:space="0" w:color="auto"/>
        <w:left w:val="none" w:sz="0" w:space="0" w:color="auto"/>
        <w:bottom w:val="none" w:sz="0" w:space="0" w:color="auto"/>
        <w:right w:val="none" w:sz="0" w:space="0" w:color="auto"/>
      </w:divBdr>
    </w:div>
    <w:div w:id="460341181">
      <w:marLeft w:val="0"/>
      <w:marRight w:val="0"/>
      <w:marTop w:val="0"/>
      <w:marBottom w:val="0"/>
      <w:divBdr>
        <w:top w:val="none" w:sz="0" w:space="0" w:color="auto"/>
        <w:left w:val="none" w:sz="0" w:space="0" w:color="auto"/>
        <w:bottom w:val="none" w:sz="0" w:space="0" w:color="auto"/>
        <w:right w:val="none" w:sz="0" w:space="0" w:color="auto"/>
      </w:divBdr>
      <w:divsChild>
        <w:div w:id="590895731">
          <w:marLeft w:val="0"/>
          <w:marRight w:val="0"/>
          <w:marTop w:val="0"/>
          <w:marBottom w:val="0"/>
          <w:divBdr>
            <w:top w:val="none" w:sz="0" w:space="0" w:color="auto"/>
            <w:left w:val="none" w:sz="0" w:space="0" w:color="auto"/>
            <w:bottom w:val="none" w:sz="0" w:space="0" w:color="auto"/>
            <w:right w:val="none" w:sz="0" w:space="0" w:color="auto"/>
          </w:divBdr>
        </w:div>
      </w:divsChild>
    </w:div>
    <w:div w:id="468597979">
      <w:bodyDiv w:val="1"/>
      <w:marLeft w:val="0"/>
      <w:marRight w:val="0"/>
      <w:marTop w:val="0"/>
      <w:marBottom w:val="0"/>
      <w:divBdr>
        <w:top w:val="none" w:sz="0" w:space="0" w:color="auto"/>
        <w:left w:val="none" w:sz="0" w:space="0" w:color="auto"/>
        <w:bottom w:val="none" w:sz="0" w:space="0" w:color="auto"/>
        <w:right w:val="none" w:sz="0" w:space="0" w:color="auto"/>
      </w:divBdr>
    </w:div>
    <w:div w:id="500003518">
      <w:marLeft w:val="0"/>
      <w:marRight w:val="0"/>
      <w:marTop w:val="0"/>
      <w:marBottom w:val="0"/>
      <w:divBdr>
        <w:top w:val="none" w:sz="0" w:space="0" w:color="auto"/>
        <w:left w:val="none" w:sz="0" w:space="0" w:color="auto"/>
        <w:bottom w:val="none" w:sz="0" w:space="0" w:color="auto"/>
        <w:right w:val="none" w:sz="0" w:space="0" w:color="auto"/>
      </w:divBdr>
      <w:divsChild>
        <w:div w:id="546793647">
          <w:marLeft w:val="0"/>
          <w:marRight w:val="0"/>
          <w:marTop w:val="0"/>
          <w:marBottom w:val="0"/>
          <w:divBdr>
            <w:top w:val="none" w:sz="0" w:space="0" w:color="auto"/>
            <w:left w:val="none" w:sz="0" w:space="0" w:color="auto"/>
            <w:bottom w:val="none" w:sz="0" w:space="0" w:color="auto"/>
            <w:right w:val="none" w:sz="0" w:space="0" w:color="auto"/>
          </w:divBdr>
        </w:div>
      </w:divsChild>
    </w:div>
    <w:div w:id="508254777">
      <w:marLeft w:val="0"/>
      <w:marRight w:val="0"/>
      <w:marTop w:val="0"/>
      <w:marBottom w:val="0"/>
      <w:divBdr>
        <w:top w:val="none" w:sz="0" w:space="0" w:color="auto"/>
        <w:left w:val="none" w:sz="0" w:space="0" w:color="auto"/>
        <w:bottom w:val="none" w:sz="0" w:space="0" w:color="auto"/>
        <w:right w:val="none" w:sz="0" w:space="0" w:color="auto"/>
      </w:divBdr>
      <w:divsChild>
        <w:div w:id="547302040">
          <w:marLeft w:val="0"/>
          <w:marRight w:val="0"/>
          <w:marTop w:val="0"/>
          <w:marBottom w:val="0"/>
          <w:divBdr>
            <w:top w:val="none" w:sz="0" w:space="0" w:color="auto"/>
            <w:left w:val="none" w:sz="0" w:space="0" w:color="auto"/>
            <w:bottom w:val="none" w:sz="0" w:space="0" w:color="auto"/>
            <w:right w:val="none" w:sz="0" w:space="0" w:color="auto"/>
          </w:divBdr>
        </w:div>
      </w:divsChild>
    </w:div>
    <w:div w:id="535240069">
      <w:marLeft w:val="0"/>
      <w:marRight w:val="0"/>
      <w:marTop w:val="0"/>
      <w:marBottom w:val="0"/>
      <w:divBdr>
        <w:top w:val="none" w:sz="0" w:space="0" w:color="auto"/>
        <w:left w:val="none" w:sz="0" w:space="0" w:color="auto"/>
        <w:bottom w:val="none" w:sz="0" w:space="0" w:color="auto"/>
        <w:right w:val="none" w:sz="0" w:space="0" w:color="auto"/>
      </w:divBdr>
      <w:divsChild>
        <w:div w:id="839083790">
          <w:marLeft w:val="0"/>
          <w:marRight w:val="0"/>
          <w:marTop w:val="0"/>
          <w:marBottom w:val="0"/>
          <w:divBdr>
            <w:top w:val="none" w:sz="0" w:space="0" w:color="auto"/>
            <w:left w:val="none" w:sz="0" w:space="0" w:color="auto"/>
            <w:bottom w:val="none" w:sz="0" w:space="0" w:color="auto"/>
            <w:right w:val="none" w:sz="0" w:space="0" w:color="auto"/>
          </w:divBdr>
        </w:div>
      </w:divsChild>
    </w:div>
    <w:div w:id="606814664">
      <w:marLeft w:val="0"/>
      <w:marRight w:val="0"/>
      <w:marTop w:val="0"/>
      <w:marBottom w:val="0"/>
      <w:divBdr>
        <w:top w:val="none" w:sz="0" w:space="0" w:color="auto"/>
        <w:left w:val="none" w:sz="0" w:space="0" w:color="auto"/>
        <w:bottom w:val="none" w:sz="0" w:space="0" w:color="auto"/>
        <w:right w:val="none" w:sz="0" w:space="0" w:color="auto"/>
      </w:divBdr>
      <w:divsChild>
        <w:div w:id="767627886">
          <w:marLeft w:val="0"/>
          <w:marRight w:val="0"/>
          <w:marTop w:val="0"/>
          <w:marBottom w:val="0"/>
          <w:divBdr>
            <w:top w:val="none" w:sz="0" w:space="0" w:color="auto"/>
            <w:left w:val="none" w:sz="0" w:space="0" w:color="auto"/>
            <w:bottom w:val="none" w:sz="0" w:space="0" w:color="auto"/>
            <w:right w:val="none" w:sz="0" w:space="0" w:color="auto"/>
          </w:divBdr>
        </w:div>
      </w:divsChild>
    </w:div>
    <w:div w:id="629745541">
      <w:marLeft w:val="0"/>
      <w:marRight w:val="0"/>
      <w:marTop w:val="0"/>
      <w:marBottom w:val="0"/>
      <w:divBdr>
        <w:top w:val="none" w:sz="0" w:space="0" w:color="auto"/>
        <w:left w:val="none" w:sz="0" w:space="0" w:color="auto"/>
        <w:bottom w:val="none" w:sz="0" w:space="0" w:color="auto"/>
        <w:right w:val="none" w:sz="0" w:space="0" w:color="auto"/>
      </w:divBdr>
      <w:divsChild>
        <w:div w:id="588081374">
          <w:marLeft w:val="0"/>
          <w:marRight w:val="0"/>
          <w:marTop w:val="0"/>
          <w:marBottom w:val="0"/>
          <w:divBdr>
            <w:top w:val="none" w:sz="0" w:space="0" w:color="auto"/>
            <w:left w:val="none" w:sz="0" w:space="0" w:color="auto"/>
            <w:bottom w:val="none" w:sz="0" w:space="0" w:color="auto"/>
            <w:right w:val="none" w:sz="0" w:space="0" w:color="auto"/>
          </w:divBdr>
        </w:div>
      </w:divsChild>
    </w:div>
    <w:div w:id="631522092">
      <w:marLeft w:val="0"/>
      <w:marRight w:val="0"/>
      <w:marTop w:val="0"/>
      <w:marBottom w:val="0"/>
      <w:divBdr>
        <w:top w:val="none" w:sz="0" w:space="0" w:color="auto"/>
        <w:left w:val="none" w:sz="0" w:space="0" w:color="auto"/>
        <w:bottom w:val="none" w:sz="0" w:space="0" w:color="auto"/>
        <w:right w:val="none" w:sz="0" w:space="0" w:color="auto"/>
      </w:divBdr>
      <w:divsChild>
        <w:div w:id="525290012">
          <w:marLeft w:val="0"/>
          <w:marRight w:val="0"/>
          <w:marTop w:val="0"/>
          <w:marBottom w:val="0"/>
          <w:divBdr>
            <w:top w:val="none" w:sz="0" w:space="0" w:color="auto"/>
            <w:left w:val="none" w:sz="0" w:space="0" w:color="auto"/>
            <w:bottom w:val="none" w:sz="0" w:space="0" w:color="auto"/>
            <w:right w:val="none" w:sz="0" w:space="0" w:color="auto"/>
          </w:divBdr>
        </w:div>
      </w:divsChild>
    </w:div>
    <w:div w:id="735473025">
      <w:marLeft w:val="0"/>
      <w:marRight w:val="0"/>
      <w:marTop w:val="0"/>
      <w:marBottom w:val="0"/>
      <w:divBdr>
        <w:top w:val="none" w:sz="0" w:space="0" w:color="auto"/>
        <w:left w:val="none" w:sz="0" w:space="0" w:color="auto"/>
        <w:bottom w:val="none" w:sz="0" w:space="0" w:color="auto"/>
        <w:right w:val="none" w:sz="0" w:space="0" w:color="auto"/>
      </w:divBdr>
      <w:divsChild>
        <w:div w:id="1972133205">
          <w:marLeft w:val="0"/>
          <w:marRight w:val="0"/>
          <w:marTop w:val="0"/>
          <w:marBottom w:val="0"/>
          <w:divBdr>
            <w:top w:val="none" w:sz="0" w:space="0" w:color="auto"/>
            <w:left w:val="none" w:sz="0" w:space="0" w:color="auto"/>
            <w:bottom w:val="none" w:sz="0" w:space="0" w:color="auto"/>
            <w:right w:val="none" w:sz="0" w:space="0" w:color="auto"/>
          </w:divBdr>
        </w:div>
      </w:divsChild>
    </w:div>
    <w:div w:id="736827693">
      <w:marLeft w:val="0"/>
      <w:marRight w:val="0"/>
      <w:marTop w:val="0"/>
      <w:marBottom w:val="0"/>
      <w:divBdr>
        <w:top w:val="none" w:sz="0" w:space="0" w:color="auto"/>
        <w:left w:val="none" w:sz="0" w:space="0" w:color="auto"/>
        <w:bottom w:val="none" w:sz="0" w:space="0" w:color="auto"/>
        <w:right w:val="none" w:sz="0" w:space="0" w:color="auto"/>
      </w:divBdr>
      <w:divsChild>
        <w:div w:id="565918672">
          <w:marLeft w:val="0"/>
          <w:marRight w:val="0"/>
          <w:marTop w:val="0"/>
          <w:marBottom w:val="0"/>
          <w:divBdr>
            <w:top w:val="none" w:sz="0" w:space="0" w:color="auto"/>
            <w:left w:val="none" w:sz="0" w:space="0" w:color="auto"/>
            <w:bottom w:val="none" w:sz="0" w:space="0" w:color="auto"/>
            <w:right w:val="none" w:sz="0" w:space="0" w:color="auto"/>
          </w:divBdr>
        </w:div>
      </w:divsChild>
    </w:div>
    <w:div w:id="736903363">
      <w:marLeft w:val="0"/>
      <w:marRight w:val="0"/>
      <w:marTop w:val="0"/>
      <w:marBottom w:val="0"/>
      <w:divBdr>
        <w:top w:val="none" w:sz="0" w:space="0" w:color="auto"/>
        <w:left w:val="none" w:sz="0" w:space="0" w:color="auto"/>
        <w:bottom w:val="none" w:sz="0" w:space="0" w:color="auto"/>
        <w:right w:val="none" w:sz="0" w:space="0" w:color="auto"/>
      </w:divBdr>
      <w:divsChild>
        <w:div w:id="591940274">
          <w:marLeft w:val="0"/>
          <w:marRight w:val="0"/>
          <w:marTop w:val="0"/>
          <w:marBottom w:val="0"/>
          <w:divBdr>
            <w:top w:val="none" w:sz="0" w:space="0" w:color="auto"/>
            <w:left w:val="none" w:sz="0" w:space="0" w:color="auto"/>
            <w:bottom w:val="none" w:sz="0" w:space="0" w:color="auto"/>
            <w:right w:val="none" w:sz="0" w:space="0" w:color="auto"/>
          </w:divBdr>
        </w:div>
      </w:divsChild>
    </w:div>
    <w:div w:id="742333080">
      <w:marLeft w:val="0"/>
      <w:marRight w:val="0"/>
      <w:marTop w:val="0"/>
      <w:marBottom w:val="0"/>
      <w:divBdr>
        <w:top w:val="none" w:sz="0" w:space="0" w:color="auto"/>
        <w:left w:val="none" w:sz="0" w:space="0" w:color="auto"/>
        <w:bottom w:val="none" w:sz="0" w:space="0" w:color="auto"/>
        <w:right w:val="none" w:sz="0" w:space="0" w:color="auto"/>
      </w:divBdr>
      <w:divsChild>
        <w:div w:id="778645605">
          <w:marLeft w:val="0"/>
          <w:marRight w:val="0"/>
          <w:marTop w:val="0"/>
          <w:marBottom w:val="0"/>
          <w:divBdr>
            <w:top w:val="none" w:sz="0" w:space="0" w:color="auto"/>
            <w:left w:val="none" w:sz="0" w:space="0" w:color="auto"/>
            <w:bottom w:val="none" w:sz="0" w:space="0" w:color="auto"/>
            <w:right w:val="none" w:sz="0" w:space="0" w:color="auto"/>
          </w:divBdr>
        </w:div>
      </w:divsChild>
    </w:div>
    <w:div w:id="753018792">
      <w:bodyDiv w:val="1"/>
      <w:marLeft w:val="0"/>
      <w:marRight w:val="0"/>
      <w:marTop w:val="0"/>
      <w:marBottom w:val="0"/>
      <w:divBdr>
        <w:top w:val="none" w:sz="0" w:space="0" w:color="auto"/>
        <w:left w:val="none" w:sz="0" w:space="0" w:color="auto"/>
        <w:bottom w:val="none" w:sz="0" w:space="0" w:color="auto"/>
        <w:right w:val="none" w:sz="0" w:space="0" w:color="auto"/>
      </w:divBdr>
    </w:div>
    <w:div w:id="759451603">
      <w:marLeft w:val="0"/>
      <w:marRight w:val="0"/>
      <w:marTop w:val="0"/>
      <w:marBottom w:val="0"/>
      <w:divBdr>
        <w:top w:val="none" w:sz="0" w:space="0" w:color="auto"/>
        <w:left w:val="none" w:sz="0" w:space="0" w:color="auto"/>
        <w:bottom w:val="none" w:sz="0" w:space="0" w:color="auto"/>
        <w:right w:val="none" w:sz="0" w:space="0" w:color="auto"/>
      </w:divBdr>
      <w:divsChild>
        <w:div w:id="894967768">
          <w:marLeft w:val="0"/>
          <w:marRight w:val="0"/>
          <w:marTop w:val="0"/>
          <w:marBottom w:val="0"/>
          <w:divBdr>
            <w:top w:val="none" w:sz="0" w:space="0" w:color="auto"/>
            <w:left w:val="none" w:sz="0" w:space="0" w:color="auto"/>
            <w:bottom w:val="none" w:sz="0" w:space="0" w:color="auto"/>
            <w:right w:val="none" w:sz="0" w:space="0" w:color="auto"/>
          </w:divBdr>
        </w:div>
      </w:divsChild>
    </w:div>
    <w:div w:id="759528998">
      <w:marLeft w:val="0"/>
      <w:marRight w:val="0"/>
      <w:marTop w:val="0"/>
      <w:marBottom w:val="0"/>
      <w:divBdr>
        <w:top w:val="none" w:sz="0" w:space="0" w:color="auto"/>
        <w:left w:val="none" w:sz="0" w:space="0" w:color="auto"/>
        <w:bottom w:val="none" w:sz="0" w:space="0" w:color="auto"/>
        <w:right w:val="none" w:sz="0" w:space="0" w:color="auto"/>
      </w:divBdr>
      <w:divsChild>
        <w:div w:id="903951558">
          <w:marLeft w:val="0"/>
          <w:marRight w:val="0"/>
          <w:marTop w:val="0"/>
          <w:marBottom w:val="0"/>
          <w:divBdr>
            <w:top w:val="none" w:sz="0" w:space="0" w:color="auto"/>
            <w:left w:val="none" w:sz="0" w:space="0" w:color="auto"/>
            <w:bottom w:val="none" w:sz="0" w:space="0" w:color="auto"/>
            <w:right w:val="none" w:sz="0" w:space="0" w:color="auto"/>
          </w:divBdr>
        </w:div>
      </w:divsChild>
    </w:div>
    <w:div w:id="762459638">
      <w:marLeft w:val="0"/>
      <w:marRight w:val="0"/>
      <w:marTop w:val="0"/>
      <w:marBottom w:val="0"/>
      <w:divBdr>
        <w:top w:val="none" w:sz="0" w:space="0" w:color="auto"/>
        <w:left w:val="none" w:sz="0" w:space="0" w:color="auto"/>
        <w:bottom w:val="none" w:sz="0" w:space="0" w:color="auto"/>
        <w:right w:val="none" w:sz="0" w:space="0" w:color="auto"/>
      </w:divBdr>
      <w:divsChild>
        <w:div w:id="1282029530">
          <w:marLeft w:val="0"/>
          <w:marRight w:val="0"/>
          <w:marTop w:val="0"/>
          <w:marBottom w:val="0"/>
          <w:divBdr>
            <w:top w:val="none" w:sz="0" w:space="0" w:color="auto"/>
            <w:left w:val="none" w:sz="0" w:space="0" w:color="auto"/>
            <w:bottom w:val="none" w:sz="0" w:space="0" w:color="auto"/>
            <w:right w:val="none" w:sz="0" w:space="0" w:color="auto"/>
          </w:divBdr>
        </w:div>
      </w:divsChild>
    </w:div>
    <w:div w:id="775365145">
      <w:marLeft w:val="0"/>
      <w:marRight w:val="0"/>
      <w:marTop w:val="0"/>
      <w:marBottom w:val="0"/>
      <w:divBdr>
        <w:top w:val="none" w:sz="0" w:space="0" w:color="auto"/>
        <w:left w:val="none" w:sz="0" w:space="0" w:color="auto"/>
        <w:bottom w:val="none" w:sz="0" w:space="0" w:color="auto"/>
        <w:right w:val="none" w:sz="0" w:space="0" w:color="auto"/>
      </w:divBdr>
      <w:divsChild>
        <w:div w:id="443547776">
          <w:marLeft w:val="0"/>
          <w:marRight w:val="0"/>
          <w:marTop w:val="0"/>
          <w:marBottom w:val="0"/>
          <w:divBdr>
            <w:top w:val="none" w:sz="0" w:space="0" w:color="auto"/>
            <w:left w:val="none" w:sz="0" w:space="0" w:color="auto"/>
            <w:bottom w:val="none" w:sz="0" w:space="0" w:color="auto"/>
            <w:right w:val="none" w:sz="0" w:space="0" w:color="auto"/>
          </w:divBdr>
        </w:div>
      </w:divsChild>
    </w:div>
    <w:div w:id="823426381">
      <w:marLeft w:val="0"/>
      <w:marRight w:val="0"/>
      <w:marTop w:val="0"/>
      <w:marBottom w:val="0"/>
      <w:divBdr>
        <w:top w:val="none" w:sz="0" w:space="0" w:color="auto"/>
        <w:left w:val="none" w:sz="0" w:space="0" w:color="auto"/>
        <w:bottom w:val="none" w:sz="0" w:space="0" w:color="auto"/>
        <w:right w:val="none" w:sz="0" w:space="0" w:color="auto"/>
      </w:divBdr>
      <w:divsChild>
        <w:div w:id="1045330076">
          <w:marLeft w:val="0"/>
          <w:marRight w:val="0"/>
          <w:marTop w:val="0"/>
          <w:marBottom w:val="0"/>
          <w:divBdr>
            <w:top w:val="none" w:sz="0" w:space="0" w:color="auto"/>
            <w:left w:val="none" w:sz="0" w:space="0" w:color="auto"/>
            <w:bottom w:val="none" w:sz="0" w:space="0" w:color="auto"/>
            <w:right w:val="none" w:sz="0" w:space="0" w:color="auto"/>
          </w:divBdr>
        </w:div>
      </w:divsChild>
    </w:div>
    <w:div w:id="828134339">
      <w:marLeft w:val="0"/>
      <w:marRight w:val="0"/>
      <w:marTop w:val="0"/>
      <w:marBottom w:val="0"/>
      <w:divBdr>
        <w:top w:val="none" w:sz="0" w:space="0" w:color="auto"/>
        <w:left w:val="none" w:sz="0" w:space="0" w:color="auto"/>
        <w:bottom w:val="none" w:sz="0" w:space="0" w:color="auto"/>
        <w:right w:val="none" w:sz="0" w:space="0" w:color="auto"/>
      </w:divBdr>
      <w:divsChild>
        <w:div w:id="79179277">
          <w:marLeft w:val="0"/>
          <w:marRight w:val="0"/>
          <w:marTop w:val="0"/>
          <w:marBottom w:val="0"/>
          <w:divBdr>
            <w:top w:val="none" w:sz="0" w:space="0" w:color="auto"/>
            <w:left w:val="none" w:sz="0" w:space="0" w:color="auto"/>
            <w:bottom w:val="none" w:sz="0" w:space="0" w:color="auto"/>
            <w:right w:val="none" w:sz="0" w:space="0" w:color="auto"/>
          </w:divBdr>
        </w:div>
      </w:divsChild>
    </w:div>
    <w:div w:id="872378811">
      <w:marLeft w:val="0"/>
      <w:marRight w:val="0"/>
      <w:marTop w:val="0"/>
      <w:marBottom w:val="0"/>
      <w:divBdr>
        <w:top w:val="none" w:sz="0" w:space="0" w:color="auto"/>
        <w:left w:val="none" w:sz="0" w:space="0" w:color="auto"/>
        <w:bottom w:val="none" w:sz="0" w:space="0" w:color="auto"/>
        <w:right w:val="none" w:sz="0" w:space="0" w:color="auto"/>
      </w:divBdr>
      <w:divsChild>
        <w:div w:id="555630301">
          <w:marLeft w:val="0"/>
          <w:marRight w:val="0"/>
          <w:marTop w:val="0"/>
          <w:marBottom w:val="0"/>
          <w:divBdr>
            <w:top w:val="none" w:sz="0" w:space="0" w:color="auto"/>
            <w:left w:val="none" w:sz="0" w:space="0" w:color="auto"/>
            <w:bottom w:val="none" w:sz="0" w:space="0" w:color="auto"/>
            <w:right w:val="none" w:sz="0" w:space="0" w:color="auto"/>
          </w:divBdr>
        </w:div>
      </w:divsChild>
    </w:div>
    <w:div w:id="903875402">
      <w:marLeft w:val="0"/>
      <w:marRight w:val="0"/>
      <w:marTop w:val="0"/>
      <w:marBottom w:val="0"/>
      <w:divBdr>
        <w:top w:val="none" w:sz="0" w:space="0" w:color="auto"/>
        <w:left w:val="none" w:sz="0" w:space="0" w:color="auto"/>
        <w:bottom w:val="none" w:sz="0" w:space="0" w:color="auto"/>
        <w:right w:val="none" w:sz="0" w:space="0" w:color="auto"/>
      </w:divBdr>
      <w:divsChild>
        <w:div w:id="37751737">
          <w:marLeft w:val="0"/>
          <w:marRight w:val="0"/>
          <w:marTop w:val="0"/>
          <w:marBottom w:val="0"/>
          <w:divBdr>
            <w:top w:val="none" w:sz="0" w:space="0" w:color="auto"/>
            <w:left w:val="none" w:sz="0" w:space="0" w:color="auto"/>
            <w:bottom w:val="none" w:sz="0" w:space="0" w:color="auto"/>
            <w:right w:val="none" w:sz="0" w:space="0" w:color="auto"/>
          </w:divBdr>
        </w:div>
      </w:divsChild>
    </w:div>
    <w:div w:id="928464880">
      <w:bodyDiv w:val="1"/>
      <w:marLeft w:val="0"/>
      <w:marRight w:val="0"/>
      <w:marTop w:val="0"/>
      <w:marBottom w:val="0"/>
      <w:divBdr>
        <w:top w:val="none" w:sz="0" w:space="0" w:color="auto"/>
        <w:left w:val="none" w:sz="0" w:space="0" w:color="auto"/>
        <w:bottom w:val="none" w:sz="0" w:space="0" w:color="auto"/>
        <w:right w:val="none" w:sz="0" w:space="0" w:color="auto"/>
      </w:divBdr>
    </w:div>
    <w:div w:id="935868460">
      <w:marLeft w:val="0"/>
      <w:marRight w:val="0"/>
      <w:marTop w:val="0"/>
      <w:marBottom w:val="0"/>
      <w:divBdr>
        <w:top w:val="none" w:sz="0" w:space="0" w:color="auto"/>
        <w:left w:val="none" w:sz="0" w:space="0" w:color="auto"/>
        <w:bottom w:val="none" w:sz="0" w:space="0" w:color="auto"/>
        <w:right w:val="none" w:sz="0" w:space="0" w:color="auto"/>
      </w:divBdr>
      <w:divsChild>
        <w:div w:id="814562086">
          <w:marLeft w:val="0"/>
          <w:marRight w:val="0"/>
          <w:marTop w:val="0"/>
          <w:marBottom w:val="0"/>
          <w:divBdr>
            <w:top w:val="none" w:sz="0" w:space="0" w:color="auto"/>
            <w:left w:val="none" w:sz="0" w:space="0" w:color="auto"/>
            <w:bottom w:val="none" w:sz="0" w:space="0" w:color="auto"/>
            <w:right w:val="none" w:sz="0" w:space="0" w:color="auto"/>
          </w:divBdr>
        </w:div>
      </w:divsChild>
    </w:div>
    <w:div w:id="962155158">
      <w:marLeft w:val="0"/>
      <w:marRight w:val="0"/>
      <w:marTop w:val="0"/>
      <w:marBottom w:val="0"/>
      <w:divBdr>
        <w:top w:val="none" w:sz="0" w:space="0" w:color="auto"/>
        <w:left w:val="none" w:sz="0" w:space="0" w:color="auto"/>
        <w:bottom w:val="none" w:sz="0" w:space="0" w:color="auto"/>
        <w:right w:val="none" w:sz="0" w:space="0" w:color="auto"/>
      </w:divBdr>
      <w:divsChild>
        <w:div w:id="609165586">
          <w:marLeft w:val="0"/>
          <w:marRight w:val="0"/>
          <w:marTop w:val="0"/>
          <w:marBottom w:val="0"/>
          <w:divBdr>
            <w:top w:val="none" w:sz="0" w:space="0" w:color="auto"/>
            <w:left w:val="none" w:sz="0" w:space="0" w:color="auto"/>
            <w:bottom w:val="none" w:sz="0" w:space="0" w:color="auto"/>
            <w:right w:val="none" w:sz="0" w:space="0" w:color="auto"/>
          </w:divBdr>
        </w:div>
      </w:divsChild>
    </w:div>
    <w:div w:id="963006175">
      <w:marLeft w:val="0"/>
      <w:marRight w:val="0"/>
      <w:marTop w:val="0"/>
      <w:marBottom w:val="0"/>
      <w:divBdr>
        <w:top w:val="none" w:sz="0" w:space="0" w:color="auto"/>
        <w:left w:val="none" w:sz="0" w:space="0" w:color="auto"/>
        <w:bottom w:val="none" w:sz="0" w:space="0" w:color="auto"/>
        <w:right w:val="none" w:sz="0" w:space="0" w:color="auto"/>
      </w:divBdr>
      <w:divsChild>
        <w:div w:id="999430464">
          <w:marLeft w:val="0"/>
          <w:marRight w:val="0"/>
          <w:marTop w:val="0"/>
          <w:marBottom w:val="0"/>
          <w:divBdr>
            <w:top w:val="none" w:sz="0" w:space="0" w:color="auto"/>
            <w:left w:val="none" w:sz="0" w:space="0" w:color="auto"/>
            <w:bottom w:val="none" w:sz="0" w:space="0" w:color="auto"/>
            <w:right w:val="none" w:sz="0" w:space="0" w:color="auto"/>
          </w:divBdr>
        </w:div>
      </w:divsChild>
    </w:div>
    <w:div w:id="974945481">
      <w:marLeft w:val="0"/>
      <w:marRight w:val="0"/>
      <w:marTop w:val="0"/>
      <w:marBottom w:val="0"/>
      <w:divBdr>
        <w:top w:val="none" w:sz="0" w:space="0" w:color="auto"/>
        <w:left w:val="none" w:sz="0" w:space="0" w:color="auto"/>
        <w:bottom w:val="none" w:sz="0" w:space="0" w:color="auto"/>
        <w:right w:val="none" w:sz="0" w:space="0" w:color="auto"/>
      </w:divBdr>
      <w:divsChild>
        <w:div w:id="1237320038">
          <w:marLeft w:val="0"/>
          <w:marRight w:val="0"/>
          <w:marTop w:val="0"/>
          <w:marBottom w:val="0"/>
          <w:divBdr>
            <w:top w:val="none" w:sz="0" w:space="0" w:color="auto"/>
            <w:left w:val="none" w:sz="0" w:space="0" w:color="auto"/>
            <w:bottom w:val="none" w:sz="0" w:space="0" w:color="auto"/>
            <w:right w:val="none" w:sz="0" w:space="0" w:color="auto"/>
          </w:divBdr>
        </w:div>
      </w:divsChild>
    </w:div>
    <w:div w:id="1096949727">
      <w:bodyDiv w:val="1"/>
      <w:marLeft w:val="0"/>
      <w:marRight w:val="0"/>
      <w:marTop w:val="0"/>
      <w:marBottom w:val="0"/>
      <w:divBdr>
        <w:top w:val="none" w:sz="0" w:space="0" w:color="auto"/>
        <w:left w:val="none" w:sz="0" w:space="0" w:color="auto"/>
        <w:bottom w:val="none" w:sz="0" w:space="0" w:color="auto"/>
        <w:right w:val="none" w:sz="0" w:space="0" w:color="auto"/>
      </w:divBdr>
    </w:div>
    <w:div w:id="1119647955">
      <w:marLeft w:val="0"/>
      <w:marRight w:val="0"/>
      <w:marTop w:val="0"/>
      <w:marBottom w:val="0"/>
      <w:divBdr>
        <w:top w:val="none" w:sz="0" w:space="0" w:color="auto"/>
        <w:left w:val="none" w:sz="0" w:space="0" w:color="auto"/>
        <w:bottom w:val="none" w:sz="0" w:space="0" w:color="auto"/>
        <w:right w:val="none" w:sz="0" w:space="0" w:color="auto"/>
      </w:divBdr>
      <w:divsChild>
        <w:div w:id="1039621775">
          <w:marLeft w:val="0"/>
          <w:marRight w:val="0"/>
          <w:marTop w:val="0"/>
          <w:marBottom w:val="0"/>
          <w:divBdr>
            <w:top w:val="none" w:sz="0" w:space="0" w:color="auto"/>
            <w:left w:val="none" w:sz="0" w:space="0" w:color="auto"/>
            <w:bottom w:val="none" w:sz="0" w:space="0" w:color="auto"/>
            <w:right w:val="none" w:sz="0" w:space="0" w:color="auto"/>
          </w:divBdr>
        </w:div>
      </w:divsChild>
    </w:div>
    <w:div w:id="1125851093">
      <w:bodyDiv w:val="1"/>
      <w:marLeft w:val="0"/>
      <w:marRight w:val="0"/>
      <w:marTop w:val="0"/>
      <w:marBottom w:val="0"/>
      <w:divBdr>
        <w:top w:val="none" w:sz="0" w:space="0" w:color="auto"/>
        <w:left w:val="none" w:sz="0" w:space="0" w:color="auto"/>
        <w:bottom w:val="none" w:sz="0" w:space="0" w:color="auto"/>
        <w:right w:val="none" w:sz="0" w:space="0" w:color="auto"/>
      </w:divBdr>
    </w:div>
    <w:div w:id="1134106231">
      <w:marLeft w:val="0"/>
      <w:marRight w:val="0"/>
      <w:marTop w:val="0"/>
      <w:marBottom w:val="0"/>
      <w:divBdr>
        <w:top w:val="none" w:sz="0" w:space="0" w:color="auto"/>
        <w:left w:val="none" w:sz="0" w:space="0" w:color="auto"/>
        <w:bottom w:val="none" w:sz="0" w:space="0" w:color="auto"/>
        <w:right w:val="none" w:sz="0" w:space="0" w:color="auto"/>
      </w:divBdr>
      <w:divsChild>
        <w:div w:id="508451681">
          <w:marLeft w:val="0"/>
          <w:marRight w:val="0"/>
          <w:marTop w:val="0"/>
          <w:marBottom w:val="0"/>
          <w:divBdr>
            <w:top w:val="none" w:sz="0" w:space="0" w:color="auto"/>
            <w:left w:val="none" w:sz="0" w:space="0" w:color="auto"/>
            <w:bottom w:val="none" w:sz="0" w:space="0" w:color="auto"/>
            <w:right w:val="none" w:sz="0" w:space="0" w:color="auto"/>
          </w:divBdr>
        </w:div>
      </w:divsChild>
    </w:div>
    <w:div w:id="1143695602">
      <w:marLeft w:val="0"/>
      <w:marRight w:val="0"/>
      <w:marTop w:val="0"/>
      <w:marBottom w:val="0"/>
      <w:divBdr>
        <w:top w:val="none" w:sz="0" w:space="0" w:color="auto"/>
        <w:left w:val="none" w:sz="0" w:space="0" w:color="auto"/>
        <w:bottom w:val="none" w:sz="0" w:space="0" w:color="auto"/>
        <w:right w:val="none" w:sz="0" w:space="0" w:color="auto"/>
      </w:divBdr>
      <w:divsChild>
        <w:div w:id="200900575">
          <w:marLeft w:val="0"/>
          <w:marRight w:val="0"/>
          <w:marTop w:val="0"/>
          <w:marBottom w:val="0"/>
          <w:divBdr>
            <w:top w:val="none" w:sz="0" w:space="0" w:color="auto"/>
            <w:left w:val="none" w:sz="0" w:space="0" w:color="auto"/>
            <w:bottom w:val="none" w:sz="0" w:space="0" w:color="auto"/>
            <w:right w:val="none" w:sz="0" w:space="0" w:color="auto"/>
          </w:divBdr>
        </w:div>
      </w:divsChild>
    </w:div>
    <w:div w:id="1170410563">
      <w:marLeft w:val="0"/>
      <w:marRight w:val="0"/>
      <w:marTop w:val="0"/>
      <w:marBottom w:val="0"/>
      <w:divBdr>
        <w:top w:val="none" w:sz="0" w:space="0" w:color="auto"/>
        <w:left w:val="none" w:sz="0" w:space="0" w:color="auto"/>
        <w:bottom w:val="none" w:sz="0" w:space="0" w:color="auto"/>
        <w:right w:val="none" w:sz="0" w:space="0" w:color="auto"/>
      </w:divBdr>
      <w:divsChild>
        <w:div w:id="595594206">
          <w:marLeft w:val="0"/>
          <w:marRight w:val="0"/>
          <w:marTop w:val="0"/>
          <w:marBottom w:val="0"/>
          <w:divBdr>
            <w:top w:val="none" w:sz="0" w:space="0" w:color="auto"/>
            <w:left w:val="none" w:sz="0" w:space="0" w:color="auto"/>
            <w:bottom w:val="none" w:sz="0" w:space="0" w:color="auto"/>
            <w:right w:val="none" w:sz="0" w:space="0" w:color="auto"/>
          </w:divBdr>
        </w:div>
      </w:divsChild>
    </w:div>
    <w:div w:id="1194613918">
      <w:marLeft w:val="0"/>
      <w:marRight w:val="0"/>
      <w:marTop w:val="0"/>
      <w:marBottom w:val="0"/>
      <w:divBdr>
        <w:top w:val="none" w:sz="0" w:space="0" w:color="auto"/>
        <w:left w:val="none" w:sz="0" w:space="0" w:color="auto"/>
        <w:bottom w:val="none" w:sz="0" w:space="0" w:color="auto"/>
        <w:right w:val="none" w:sz="0" w:space="0" w:color="auto"/>
      </w:divBdr>
      <w:divsChild>
        <w:div w:id="145434065">
          <w:marLeft w:val="0"/>
          <w:marRight w:val="0"/>
          <w:marTop w:val="0"/>
          <w:marBottom w:val="0"/>
          <w:divBdr>
            <w:top w:val="none" w:sz="0" w:space="0" w:color="auto"/>
            <w:left w:val="none" w:sz="0" w:space="0" w:color="auto"/>
            <w:bottom w:val="none" w:sz="0" w:space="0" w:color="auto"/>
            <w:right w:val="none" w:sz="0" w:space="0" w:color="auto"/>
          </w:divBdr>
        </w:div>
      </w:divsChild>
    </w:div>
    <w:div w:id="1220165323">
      <w:marLeft w:val="0"/>
      <w:marRight w:val="0"/>
      <w:marTop w:val="0"/>
      <w:marBottom w:val="0"/>
      <w:divBdr>
        <w:top w:val="none" w:sz="0" w:space="0" w:color="auto"/>
        <w:left w:val="none" w:sz="0" w:space="0" w:color="auto"/>
        <w:bottom w:val="none" w:sz="0" w:space="0" w:color="auto"/>
        <w:right w:val="none" w:sz="0" w:space="0" w:color="auto"/>
      </w:divBdr>
      <w:divsChild>
        <w:div w:id="2107264674">
          <w:marLeft w:val="0"/>
          <w:marRight w:val="0"/>
          <w:marTop w:val="0"/>
          <w:marBottom w:val="0"/>
          <w:divBdr>
            <w:top w:val="none" w:sz="0" w:space="0" w:color="auto"/>
            <w:left w:val="none" w:sz="0" w:space="0" w:color="auto"/>
            <w:bottom w:val="none" w:sz="0" w:space="0" w:color="auto"/>
            <w:right w:val="none" w:sz="0" w:space="0" w:color="auto"/>
          </w:divBdr>
        </w:div>
      </w:divsChild>
    </w:div>
    <w:div w:id="1230073081">
      <w:marLeft w:val="0"/>
      <w:marRight w:val="0"/>
      <w:marTop w:val="0"/>
      <w:marBottom w:val="0"/>
      <w:divBdr>
        <w:top w:val="none" w:sz="0" w:space="0" w:color="auto"/>
        <w:left w:val="none" w:sz="0" w:space="0" w:color="auto"/>
        <w:bottom w:val="none" w:sz="0" w:space="0" w:color="auto"/>
        <w:right w:val="none" w:sz="0" w:space="0" w:color="auto"/>
      </w:divBdr>
      <w:divsChild>
        <w:div w:id="489174765">
          <w:marLeft w:val="0"/>
          <w:marRight w:val="0"/>
          <w:marTop w:val="0"/>
          <w:marBottom w:val="0"/>
          <w:divBdr>
            <w:top w:val="none" w:sz="0" w:space="0" w:color="auto"/>
            <w:left w:val="none" w:sz="0" w:space="0" w:color="auto"/>
            <w:bottom w:val="none" w:sz="0" w:space="0" w:color="auto"/>
            <w:right w:val="none" w:sz="0" w:space="0" w:color="auto"/>
          </w:divBdr>
        </w:div>
      </w:divsChild>
    </w:div>
    <w:div w:id="1268852315">
      <w:bodyDiv w:val="1"/>
      <w:marLeft w:val="0"/>
      <w:marRight w:val="0"/>
      <w:marTop w:val="0"/>
      <w:marBottom w:val="0"/>
      <w:divBdr>
        <w:top w:val="none" w:sz="0" w:space="0" w:color="auto"/>
        <w:left w:val="none" w:sz="0" w:space="0" w:color="auto"/>
        <w:bottom w:val="none" w:sz="0" w:space="0" w:color="auto"/>
        <w:right w:val="none" w:sz="0" w:space="0" w:color="auto"/>
      </w:divBdr>
    </w:div>
    <w:div w:id="1320109355">
      <w:marLeft w:val="0"/>
      <w:marRight w:val="0"/>
      <w:marTop w:val="0"/>
      <w:marBottom w:val="0"/>
      <w:divBdr>
        <w:top w:val="none" w:sz="0" w:space="0" w:color="auto"/>
        <w:left w:val="none" w:sz="0" w:space="0" w:color="auto"/>
        <w:bottom w:val="none" w:sz="0" w:space="0" w:color="auto"/>
        <w:right w:val="none" w:sz="0" w:space="0" w:color="auto"/>
      </w:divBdr>
      <w:divsChild>
        <w:div w:id="262879024">
          <w:marLeft w:val="0"/>
          <w:marRight w:val="0"/>
          <w:marTop w:val="0"/>
          <w:marBottom w:val="0"/>
          <w:divBdr>
            <w:top w:val="none" w:sz="0" w:space="0" w:color="auto"/>
            <w:left w:val="none" w:sz="0" w:space="0" w:color="auto"/>
            <w:bottom w:val="none" w:sz="0" w:space="0" w:color="auto"/>
            <w:right w:val="none" w:sz="0" w:space="0" w:color="auto"/>
          </w:divBdr>
        </w:div>
      </w:divsChild>
    </w:div>
    <w:div w:id="1323779895">
      <w:bodyDiv w:val="1"/>
      <w:marLeft w:val="0"/>
      <w:marRight w:val="0"/>
      <w:marTop w:val="0"/>
      <w:marBottom w:val="0"/>
      <w:divBdr>
        <w:top w:val="none" w:sz="0" w:space="0" w:color="auto"/>
        <w:left w:val="none" w:sz="0" w:space="0" w:color="auto"/>
        <w:bottom w:val="none" w:sz="0" w:space="0" w:color="auto"/>
        <w:right w:val="none" w:sz="0" w:space="0" w:color="auto"/>
      </w:divBdr>
    </w:div>
    <w:div w:id="1334407152">
      <w:marLeft w:val="0"/>
      <w:marRight w:val="0"/>
      <w:marTop w:val="0"/>
      <w:marBottom w:val="0"/>
      <w:divBdr>
        <w:top w:val="none" w:sz="0" w:space="0" w:color="auto"/>
        <w:left w:val="none" w:sz="0" w:space="0" w:color="auto"/>
        <w:bottom w:val="none" w:sz="0" w:space="0" w:color="auto"/>
        <w:right w:val="none" w:sz="0" w:space="0" w:color="auto"/>
      </w:divBdr>
      <w:divsChild>
        <w:div w:id="1909529981">
          <w:marLeft w:val="0"/>
          <w:marRight w:val="0"/>
          <w:marTop w:val="0"/>
          <w:marBottom w:val="0"/>
          <w:divBdr>
            <w:top w:val="none" w:sz="0" w:space="0" w:color="auto"/>
            <w:left w:val="none" w:sz="0" w:space="0" w:color="auto"/>
            <w:bottom w:val="none" w:sz="0" w:space="0" w:color="auto"/>
            <w:right w:val="none" w:sz="0" w:space="0" w:color="auto"/>
          </w:divBdr>
        </w:div>
      </w:divsChild>
    </w:div>
    <w:div w:id="1336764495">
      <w:marLeft w:val="0"/>
      <w:marRight w:val="0"/>
      <w:marTop w:val="0"/>
      <w:marBottom w:val="0"/>
      <w:divBdr>
        <w:top w:val="none" w:sz="0" w:space="0" w:color="auto"/>
        <w:left w:val="none" w:sz="0" w:space="0" w:color="auto"/>
        <w:bottom w:val="none" w:sz="0" w:space="0" w:color="auto"/>
        <w:right w:val="none" w:sz="0" w:space="0" w:color="auto"/>
      </w:divBdr>
      <w:divsChild>
        <w:div w:id="204104800">
          <w:marLeft w:val="0"/>
          <w:marRight w:val="0"/>
          <w:marTop w:val="0"/>
          <w:marBottom w:val="0"/>
          <w:divBdr>
            <w:top w:val="none" w:sz="0" w:space="0" w:color="auto"/>
            <w:left w:val="none" w:sz="0" w:space="0" w:color="auto"/>
            <w:bottom w:val="none" w:sz="0" w:space="0" w:color="auto"/>
            <w:right w:val="none" w:sz="0" w:space="0" w:color="auto"/>
          </w:divBdr>
        </w:div>
      </w:divsChild>
    </w:div>
    <w:div w:id="1345670556">
      <w:bodyDiv w:val="1"/>
      <w:marLeft w:val="0"/>
      <w:marRight w:val="0"/>
      <w:marTop w:val="0"/>
      <w:marBottom w:val="0"/>
      <w:divBdr>
        <w:top w:val="none" w:sz="0" w:space="0" w:color="auto"/>
        <w:left w:val="none" w:sz="0" w:space="0" w:color="auto"/>
        <w:bottom w:val="none" w:sz="0" w:space="0" w:color="auto"/>
        <w:right w:val="none" w:sz="0" w:space="0" w:color="auto"/>
      </w:divBdr>
      <w:divsChild>
        <w:div w:id="200553114">
          <w:marLeft w:val="0"/>
          <w:marRight w:val="0"/>
          <w:marTop w:val="0"/>
          <w:marBottom w:val="0"/>
          <w:divBdr>
            <w:top w:val="none" w:sz="0" w:space="0" w:color="auto"/>
            <w:left w:val="none" w:sz="0" w:space="0" w:color="auto"/>
            <w:bottom w:val="none" w:sz="0" w:space="0" w:color="auto"/>
            <w:right w:val="none" w:sz="0" w:space="0" w:color="auto"/>
          </w:divBdr>
        </w:div>
        <w:div w:id="1695377213">
          <w:marLeft w:val="0"/>
          <w:marRight w:val="0"/>
          <w:marTop w:val="0"/>
          <w:marBottom w:val="0"/>
          <w:divBdr>
            <w:top w:val="none" w:sz="0" w:space="0" w:color="auto"/>
            <w:left w:val="none" w:sz="0" w:space="0" w:color="auto"/>
            <w:bottom w:val="none" w:sz="0" w:space="0" w:color="auto"/>
            <w:right w:val="none" w:sz="0" w:space="0" w:color="auto"/>
          </w:divBdr>
        </w:div>
        <w:div w:id="1107653824">
          <w:marLeft w:val="0"/>
          <w:marRight w:val="0"/>
          <w:marTop w:val="0"/>
          <w:marBottom w:val="0"/>
          <w:divBdr>
            <w:top w:val="none" w:sz="0" w:space="0" w:color="auto"/>
            <w:left w:val="none" w:sz="0" w:space="0" w:color="auto"/>
            <w:bottom w:val="none" w:sz="0" w:space="0" w:color="auto"/>
            <w:right w:val="none" w:sz="0" w:space="0" w:color="auto"/>
          </w:divBdr>
        </w:div>
        <w:div w:id="233048235">
          <w:marLeft w:val="0"/>
          <w:marRight w:val="0"/>
          <w:marTop w:val="0"/>
          <w:marBottom w:val="0"/>
          <w:divBdr>
            <w:top w:val="none" w:sz="0" w:space="0" w:color="auto"/>
            <w:left w:val="none" w:sz="0" w:space="0" w:color="auto"/>
            <w:bottom w:val="none" w:sz="0" w:space="0" w:color="auto"/>
            <w:right w:val="none" w:sz="0" w:space="0" w:color="auto"/>
          </w:divBdr>
        </w:div>
        <w:div w:id="288703960">
          <w:marLeft w:val="0"/>
          <w:marRight w:val="0"/>
          <w:marTop w:val="0"/>
          <w:marBottom w:val="0"/>
          <w:divBdr>
            <w:top w:val="none" w:sz="0" w:space="0" w:color="auto"/>
            <w:left w:val="none" w:sz="0" w:space="0" w:color="auto"/>
            <w:bottom w:val="none" w:sz="0" w:space="0" w:color="auto"/>
            <w:right w:val="none" w:sz="0" w:space="0" w:color="auto"/>
          </w:divBdr>
        </w:div>
        <w:div w:id="32464418">
          <w:marLeft w:val="0"/>
          <w:marRight w:val="0"/>
          <w:marTop w:val="0"/>
          <w:marBottom w:val="0"/>
          <w:divBdr>
            <w:top w:val="none" w:sz="0" w:space="0" w:color="auto"/>
            <w:left w:val="none" w:sz="0" w:space="0" w:color="auto"/>
            <w:bottom w:val="none" w:sz="0" w:space="0" w:color="auto"/>
            <w:right w:val="none" w:sz="0" w:space="0" w:color="auto"/>
          </w:divBdr>
        </w:div>
        <w:div w:id="1512185226">
          <w:marLeft w:val="0"/>
          <w:marRight w:val="0"/>
          <w:marTop w:val="0"/>
          <w:marBottom w:val="0"/>
          <w:divBdr>
            <w:top w:val="none" w:sz="0" w:space="0" w:color="auto"/>
            <w:left w:val="none" w:sz="0" w:space="0" w:color="auto"/>
            <w:bottom w:val="none" w:sz="0" w:space="0" w:color="auto"/>
            <w:right w:val="none" w:sz="0" w:space="0" w:color="auto"/>
          </w:divBdr>
        </w:div>
        <w:div w:id="1244293059">
          <w:marLeft w:val="0"/>
          <w:marRight w:val="0"/>
          <w:marTop w:val="0"/>
          <w:marBottom w:val="0"/>
          <w:divBdr>
            <w:top w:val="none" w:sz="0" w:space="0" w:color="auto"/>
            <w:left w:val="none" w:sz="0" w:space="0" w:color="auto"/>
            <w:bottom w:val="none" w:sz="0" w:space="0" w:color="auto"/>
            <w:right w:val="none" w:sz="0" w:space="0" w:color="auto"/>
          </w:divBdr>
        </w:div>
        <w:div w:id="1001157571">
          <w:marLeft w:val="0"/>
          <w:marRight w:val="0"/>
          <w:marTop w:val="0"/>
          <w:marBottom w:val="0"/>
          <w:divBdr>
            <w:top w:val="none" w:sz="0" w:space="0" w:color="auto"/>
            <w:left w:val="none" w:sz="0" w:space="0" w:color="auto"/>
            <w:bottom w:val="none" w:sz="0" w:space="0" w:color="auto"/>
            <w:right w:val="none" w:sz="0" w:space="0" w:color="auto"/>
          </w:divBdr>
        </w:div>
        <w:div w:id="610820839">
          <w:marLeft w:val="0"/>
          <w:marRight w:val="0"/>
          <w:marTop w:val="0"/>
          <w:marBottom w:val="0"/>
          <w:divBdr>
            <w:top w:val="none" w:sz="0" w:space="0" w:color="auto"/>
            <w:left w:val="none" w:sz="0" w:space="0" w:color="auto"/>
            <w:bottom w:val="none" w:sz="0" w:space="0" w:color="auto"/>
            <w:right w:val="none" w:sz="0" w:space="0" w:color="auto"/>
          </w:divBdr>
        </w:div>
        <w:div w:id="1704478114">
          <w:marLeft w:val="0"/>
          <w:marRight w:val="0"/>
          <w:marTop w:val="0"/>
          <w:marBottom w:val="0"/>
          <w:divBdr>
            <w:top w:val="none" w:sz="0" w:space="0" w:color="auto"/>
            <w:left w:val="none" w:sz="0" w:space="0" w:color="auto"/>
            <w:bottom w:val="none" w:sz="0" w:space="0" w:color="auto"/>
            <w:right w:val="none" w:sz="0" w:space="0" w:color="auto"/>
          </w:divBdr>
        </w:div>
        <w:div w:id="1719427367">
          <w:marLeft w:val="0"/>
          <w:marRight w:val="0"/>
          <w:marTop w:val="0"/>
          <w:marBottom w:val="0"/>
          <w:divBdr>
            <w:top w:val="none" w:sz="0" w:space="0" w:color="auto"/>
            <w:left w:val="none" w:sz="0" w:space="0" w:color="auto"/>
            <w:bottom w:val="none" w:sz="0" w:space="0" w:color="auto"/>
            <w:right w:val="none" w:sz="0" w:space="0" w:color="auto"/>
          </w:divBdr>
        </w:div>
        <w:div w:id="1194926221">
          <w:marLeft w:val="0"/>
          <w:marRight w:val="0"/>
          <w:marTop w:val="0"/>
          <w:marBottom w:val="0"/>
          <w:divBdr>
            <w:top w:val="none" w:sz="0" w:space="0" w:color="auto"/>
            <w:left w:val="none" w:sz="0" w:space="0" w:color="auto"/>
            <w:bottom w:val="none" w:sz="0" w:space="0" w:color="auto"/>
            <w:right w:val="none" w:sz="0" w:space="0" w:color="auto"/>
          </w:divBdr>
        </w:div>
        <w:div w:id="1194853432">
          <w:marLeft w:val="0"/>
          <w:marRight w:val="0"/>
          <w:marTop w:val="0"/>
          <w:marBottom w:val="0"/>
          <w:divBdr>
            <w:top w:val="none" w:sz="0" w:space="0" w:color="auto"/>
            <w:left w:val="none" w:sz="0" w:space="0" w:color="auto"/>
            <w:bottom w:val="none" w:sz="0" w:space="0" w:color="auto"/>
            <w:right w:val="none" w:sz="0" w:space="0" w:color="auto"/>
          </w:divBdr>
        </w:div>
        <w:div w:id="1453982371">
          <w:marLeft w:val="0"/>
          <w:marRight w:val="0"/>
          <w:marTop w:val="0"/>
          <w:marBottom w:val="0"/>
          <w:divBdr>
            <w:top w:val="none" w:sz="0" w:space="0" w:color="auto"/>
            <w:left w:val="none" w:sz="0" w:space="0" w:color="auto"/>
            <w:bottom w:val="none" w:sz="0" w:space="0" w:color="auto"/>
            <w:right w:val="none" w:sz="0" w:space="0" w:color="auto"/>
          </w:divBdr>
        </w:div>
        <w:div w:id="488526050">
          <w:marLeft w:val="0"/>
          <w:marRight w:val="0"/>
          <w:marTop w:val="0"/>
          <w:marBottom w:val="0"/>
          <w:divBdr>
            <w:top w:val="none" w:sz="0" w:space="0" w:color="auto"/>
            <w:left w:val="none" w:sz="0" w:space="0" w:color="auto"/>
            <w:bottom w:val="none" w:sz="0" w:space="0" w:color="auto"/>
            <w:right w:val="none" w:sz="0" w:space="0" w:color="auto"/>
          </w:divBdr>
        </w:div>
        <w:div w:id="402413704">
          <w:marLeft w:val="0"/>
          <w:marRight w:val="0"/>
          <w:marTop w:val="0"/>
          <w:marBottom w:val="0"/>
          <w:divBdr>
            <w:top w:val="none" w:sz="0" w:space="0" w:color="auto"/>
            <w:left w:val="none" w:sz="0" w:space="0" w:color="auto"/>
            <w:bottom w:val="none" w:sz="0" w:space="0" w:color="auto"/>
            <w:right w:val="none" w:sz="0" w:space="0" w:color="auto"/>
          </w:divBdr>
        </w:div>
        <w:div w:id="203300081">
          <w:marLeft w:val="0"/>
          <w:marRight w:val="0"/>
          <w:marTop w:val="0"/>
          <w:marBottom w:val="0"/>
          <w:divBdr>
            <w:top w:val="none" w:sz="0" w:space="0" w:color="auto"/>
            <w:left w:val="none" w:sz="0" w:space="0" w:color="auto"/>
            <w:bottom w:val="none" w:sz="0" w:space="0" w:color="auto"/>
            <w:right w:val="none" w:sz="0" w:space="0" w:color="auto"/>
          </w:divBdr>
        </w:div>
        <w:div w:id="1208301601">
          <w:marLeft w:val="0"/>
          <w:marRight w:val="0"/>
          <w:marTop w:val="0"/>
          <w:marBottom w:val="0"/>
          <w:divBdr>
            <w:top w:val="none" w:sz="0" w:space="0" w:color="auto"/>
            <w:left w:val="none" w:sz="0" w:space="0" w:color="auto"/>
            <w:bottom w:val="none" w:sz="0" w:space="0" w:color="auto"/>
            <w:right w:val="none" w:sz="0" w:space="0" w:color="auto"/>
          </w:divBdr>
        </w:div>
        <w:div w:id="1582059178">
          <w:marLeft w:val="0"/>
          <w:marRight w:val="0"/>
          <w:marTop w:val="0"/>
          <w:marBottom w:val="0"/>
          <w:divBdr>
            <w:top w:val="none" w:sz="0" w:space="0" w:color="auto"/>
            <w:left w:val="none" w:sz="0" w:space="0" w:color="auto"/>
            <w:bottom w:val="none" w:sz="0" w:space="0" w:color="auto"/>
            <w:right w:val="none" w:sz="0" w:space="0" w:color="auto"/>
          </w:divBdr>
        </w:div>
        <w:div w:id="1818263187">
          <w:marLeft w:val="0"/>
          <w:marRight w:val="0"/>
          <w:marTop w:val="0"/>
          <w:marBottom w:val="0"/>
          <w:divBdr>
            <w:top w:val="none" w:sz="0" w:space="0" w:color="auto"/>
            <w:left w:val="none" w:sz="0" w:space="0" w:color="auto"/>
            <w:bottom w:val="none" w:sz="0" w:space="0" w:color="auto"/>
            <w:right w:val="none" w:sz="0" w:space="0" w:color="auto"/>
          </w:divBdr>
        </w:div>
        <w:div w:id="2009870665">
          <w:marLeft w:val="0"/>
          <w:marRight w:val="0"/>
          <w:marTop w:val="0"/>
          <w:marBottom w:val="0"/>
          <w:divBdr>
            <w:top w:val="none" w:sz="0" w:space="0" w:color="auto"/>
            <w:left w:val="none" w:sz="0" w:space="0" w:color="auto"/>
            <w:bottom w:val="none" w:sz="0" w:space="0" w:color="auto"/>
            <w:right w:val="none" w:sz="0" w:space="0" w:color="auto"/>
          </w:divBdr>
        </w:div>
        <w:div w:id="1559046465">
          <w:marLeft w:val="0"/>
          <w:marRight w:val="0"/>
          <w:marTop w:val="0"/>
          <w:marBottom w:val="0"/>
          <w:divBdr>
            <w:top w:val="none" w:sz="0" w:space="0" w:color="auto"/>
            <w:left w:val="none" w:sz="0" w:space="0" w:color="auto"/>
            <w:bottom w:val="none" w:sz="0" w:space="0" w:color="auto"/>
            <w:right w:val="none" w:sz="0" w:space="0" w:color="auto"/>
          </w:divBdr>
        </w:div>
        <w:div w:id="1210607796">
          <w:marLeft w:val="0"/>
          <w:marRight w:val="0"/>
          <w:marTop w:val="0"/>
          <w:marBottom w:val="0"/>
          <w:divBdr>
            <w:top w:val="none" w:sz="0" w:space="0" w:color="auto"/>
            <w:left w:val="none" w:sz="0" w:space="0" w:color="auto"/>
            <w:bottom w:val="none" w:sz="0" w:space="0" w:color="auto"/>
            <w:right w:val="none" w:sz="0" w:space="0" w:color="auto"/>
          </w:divBdr>
        </w:div>
        <w:div w:id="528838243">
          <w:marLeft w:val="0"/>
          <w:marRight w:val="0"/>
          <w:marTop w:val="0"/>
          <w:marBottom w:val="0"/>
          <w:divBdr>
            <w:top w:val="none" w:sz="0" w:space="0" w:color="auto"/>
            <w:left w:val="none" w:sz="0" w:space="0" w:color="auto"/>
            <w:bottom w:val="none" w:sz="0" w:space="0" w:color="auto"/>
            <w:right w:val="none" w:sz="0" w:space="0" w:color="auto"/>
          </w:divBdr>
          <w:divsChild>
            <w:div w:id="1630672491">
              <w:marLeft w:val="-75"/>
              <w:marRight w:val="0"/>
              <w:marTop w:val="30"/>
              <w:marBottom w:val="30"/>
              <w:divBdr>
                <w:top w:val="none" w:sz="0" w:space="0" w:color="auto"/>
                <w:left w:val="none" w:sz="0" w:space="0" w:color="auto"/>
                <w:bottom w:val="none" w:sz="0" w:space="0" w:color="auto"/>
                <w:right w:val="none" w:sz="0" w:space="0" w:color="auto"/>
              </w:divBdr>
              <w:divsChild>
                <w:div w:id="1039360818">
                  <w:marLeft w:val="0"/>
                  <w:marRight w:val="0"/>
                  <w:marTop w:val="0"/>
                  <w:marBottom w:val="0"/>
                  <w:divBdr>
                    <w:top w:val="none" w:sz="0" w:space="0" w:color="auto"/>
                    <w:left w:val="none" w:sz="0" w:space="0" w:color="auto"/>
                    <w:bottom w:val="none" w:sz="0" w:space="0" w:color="auto"/>
                    <w:right w:val="none" w:sz="0" w:space="0" w:color="auto"/>
                  </w:divBdr>
                  <w:divsChild>
                    <w:div w:id="1601914516">
                      <w:marLeft w:val="0"/>
                      <w:marRight w:val="0"/>
                      <w:marTop w:val="0"/>
                      <w:marBottom w:val="0"/>
                      <w:divBdr>
                        <w:top w:val="none" w:sz="0" w:space="0" w:color="auto"/>
                        <w:left w:val="none" w:sz="0" w:space="0" w:color="auto"/>
                        <w:bottom w:val="none" w:sz="0" w:space="0" w:color="auto"/>
                        <w:right w:val="none" w:sz="0" w:space="0" w:color="auto"/>
                      </w:divBdr>
                    </w:div>
                  </w:divsChild>
                </w:div>
                <w:div w:id="1918394925">
                  <w:marLeft w:val="0"/>
                  <w:marRight w:val="0"/>
                  <w:marTop w:val="0"/>
                  <w:marBottom w:val="0"/>
                  <w:divBdr>
                    <w:top w:val="none" w:sz="0" w:space="0" w:color="auto"/>
                    <w:left w:val="none" w:sz="0" w:space="0" w:color="auto"/>
                    <w:bottom w:val="none" w:sz="0" w:space="0" w:color="auto"/>
                    <w:right w:val="none" w:sz="0" w:space="0" w:color="auto"/>
                  </w:divBdr>
                  <w:divsChild>
                    <w:div w:id="475954348">
                      <w:marLeft w:val="0"/>
                      <w:marRight w:val="0"/>
                      <w:marTop w:val="0"/>
                      <w:marBottom w:val="0"/>
                      <w:divBdr>
                        <w:top w:val="none" w:sz="0" w:space="0" w:color="auto"/>
                        <w:left w:val="none" w:sz="0" w:space="0" w:color="auto"/>
                        <w:bottom w:val="none" w:sz="0" w:space="0" w:color="auto"/>
                        <w:right w:val="none" w:sz="0" w:space="0" w:color="auto"/>
                      </w:divBdr>
                    </w:div>
                  </w:divsChild>
                </w:div>
                <w:div w:id="332148788">
                  <w:marLeft w:val="0"/>
                  <w:marRight w:val="0"/>
                  <w:marTop w:val="0"/>
                  <w:marBottom w:val="0"/>
                  <w:divBdr>
                    <w:top w:val="none" w:sz="0" w:space="0" w:color="auto"/>
                    <w:left w:val="none" w:sz="0" w:space="0" w:color="auto"/>
                    <w:bottom w:val="none" w:sz="0" w:space="0" w:color="auto"/>
                    <w:right w:val="none" w:sz="0" w:space="0" w:color="auto"/>
                  </w:divBdr>
                  <w:divsChild>
                    <w:div w:id="2020502930">
                      <w:marLeft w:val="0"/>
                      <w:marRight w:val="0"/>
                      <w:marTop w:val="0"/>
                      <w:marBottom w:val="0"/>
                      <w:divBdr>
                        <w:top w:val="none" w:sz="0" w:space="0" w:color="auto"/>
                        <w:left w:val="none" w:sz="0" w:space="0" w:color="auto"/>
                        <w:bottom w:val="none" w:sz="0" w:space="0" w:color="auto"/>
                        <w:right w:val="none" w:sz="0" w:space="0" w:color="auto"/>
                      </w:divBdr>
                    </w:div>
                  </w:divsChild>
                </w:div>
                <w:div w:id="1589733607">
                  <w:marLeft w:val="0"/>
                  <w:marRight w:val="0"/>
                  <w:marTop w:val="0"/>
                  <w:marBottom w:val="0"/>
                  <w:divBdr>
                    <w:top w:val="none" w:sz="0" w:space="0" w:color="auto"/>
                    <w:left w:val="none" w:sz="0" w:space="0" w:color="auto"/>
                    <w:bottom w:val="none" w:sz="0" w:space="0" w:color="auto"/>
                    <w:right w:val="none" w:sz="0" w:space="0" w:color="auto"/>
                  </w:divBdr>
                  <w:divsChild>
                    <w:div w:id="1220434492">
                      <w:marLeft w:val="0"/>
                      <w:marRight w:val="0"/>
                      <w:marTop w:val="0"/>
                      <w:marBottom w:val="0"/>
                      <w:divBdr>
                        <w:top w:val="none" w:sz="0" w:space="0" w:color="auto"/>
                        <w:left w:val="none" w:sz="0" w:space="0" w:color="auto"/>
                        <w:bottom w:val="none" w:sz="0" w:space="0" w:color="auto"/>
                        <w:right w:val="none" w:sz="0" w:space="0" w:color="auto"/>
                      </w:divBdr>
                    </w:div>
                  </w:divsChild>
                </w:div>
                <w:div w:id="1063716984">
                  <w:marLeft w:val="0"/>
                  <w:marRight w:val="0"/>
                  <w:marTop w:val="0"/>
                  <w:marBottom w:val="0"/>
                  <w:divBdr>
                    <w:top w:val="none" w:sz="0" w:space="0" w:color="auto"/>
                    <w:left w:val="none" w:sz="0" w:space="0" w:color="auto"/>
                    <w:bottom w:val="none" w:sz="0" w:space="0" w:color="auto"/>
                    <w:right w:val="none" w:sz="0" w:space="0" w:color="auto"/>
                  </w:divBdr>
                  <w:divsChild>
                    <w:div w:id="98648163">
                      <w:marLeft w:val="0"/>
                      <w:marRight w:val="0"/>
                      <w:marTop w:val="0"/>
                      <w:marBottom w:val="0"/>
                      <w:divBdr>
                        <w:top w:val="none" w:sz="0" w:space="0" w:color="auto"/>
                        <w:left w:val="none" w:sz="0" w:space="0" w:color="auto"/>
                        <w:bottom w:val="none" w:sz="0" w:space="0" w:color="auto"/>
                        <w:right w:val="none" w:sz="0" w:space="0" w:color="auto"/>
                      </w:divBdr>
                    </w:div>
                  </w:divsChild>
                </w:div>
                <w:div w:id="124929452">
                  <w:marLeft w:val="0"/>
                  <w:marRight w:val="0"/>
                  <w:marTop w:val="0"/>
                  <w:marBottom w:val="0"/>
                  <w:divBdr>
                    <w:top w:val="none" w:sz="0" w:space="0" w:color="auto"/>
                    <w:left w:val="none" w:sz="0" w:space="0" w:color="auto"/>
                    <w:bottom w:val="none" w:sz="0" w:space="0" w:color="auto"/>
                    <w:right w:val="none" w:sz="0" w:space="0" w:color="auto"/>
                  </w:divBdr>
                  <w:divsChild>
                    <w:div w:id="2081169287">
                      <w:marLeft w:val="0"/>
                      <w:marRight w:val="0"/>
                      <w:marTop w:val="0"/>
                      <w:marBottom w:val="0"/>
                      <w:divBdr>
                        <w:top w:val="none" w:sz="0" w:space="0" w:color="auto"/>
                        <w:left w:val="none" w:sz="0" w:space="0" w:color="auto"/>
                        <w:bottom w:val="none" w:sz="0" w:space="0" w:color="auto"/>
                        <w:right w:val="none" w:sz="0" w:space="0" w:color="auto"/>
                      </w:divBdr>
                    </w:div>
                  </w:divsChild>
                </w:div>
                <w:div w:id="439689748">
                  <w:marLeft w:val="0"/>
                  <w:marRight w:val="0"/>
                  <w:marTop w:val="0"/>
                  <w:marBottom w:val="0"/>
                  <w:divBdr>
                    <w:top w:val="none" w:sz="0" w:space="0" w:color="auto"/>
                    <w:left w:val="none" w:sz="0" w:space="0" w:color="auto"/>
                    <w:bottom w:val="none" w:sz="0" w:space="0" w:color="auto"/>
                    <w:right w:val="none" w:sz="0" w:space="0" w:color="auto"/>
                  </w:divBdr>
                  <w:divsChild>
                    <w:div w:id="1889679895">
                      <w:marLeft w:val="0"/>
                      <w:marRight w:val="0"/>
                      <w:marTop w:val="0"/>
                      <w:marBottom w:val="0"/>
                      <w:divBdr>
                        <w:top w:val="none" w:sz="0" w:space="0" w:color="auto"/>
                        <w:left w:val="none" w:sz="0" w:space="0" w:color="auto"/>
                        <w:bottom w:val="none" w:sz="0" w:space="0" w:color="auto"/>
                        <w:right w:val="none" w:sz="0" w:space="0" w:color="auto"/>
                      </w:divBdr>
                    </w:div>
                  </w:divsChild>
                </w:div>
                <w:div w:id="1945766012">
                  <w:marLeft w:val="0"/>
                  <w:marRight w:val="0"/>
                  <w:marTop w:val="0"/>
                  <w:marBottom w:val="0"/>
                  <w:divBdr>
                    <w:top w:val="none" w:sz="0" w:space="0" w:color="auto"/>
                    <w:left w:val="none" w:sz="0" w:space="0" w:color="auto"/>
                    <w:bottom w:val="none" w:sz="0" w:space="0" w:color="auto"/>
                    <w:right w:val="none" w:sz="0" w:space="0" w:color="auto"/>
                  </w:divBdr>
                  <w:divsChild>
                    <w:div w:id="1503004745">
                      <w:marLeft w:val="0"/>
                      <w:marRight w:val="0"/>
                      <w:marTop w:val="0"/>
                      <w:marBottom w:val="0"/>
                      <w:divBdr>
                        <w:top w:val="none" w:sz="0" w:space="0" w:color="auto"/>
                        <w:left w:val="none" w:sz="0" w:space="0" w:color="auto"/>
                        <w:bottom w:val="none" w:sz="0" w:space="0" w:color="auto"/>
                        <w:right w:val="none" w:sz="0" w:space="0" w:color="auto"/>
                      </w:divBdr>
                    </w:div>
                  </w:divsChild>
                </w:div>
                <w:div w:id="1388798074">
                  <w:marLeft w:val="0"/>
                  <w:marRight w:val="0"/>
                  <w:marTop w:val="0"/>
                  <w:marBottom w:val="0"/>
                  <w:divBdr>
                    <w:top w:val="none" w:sz="0" w:space="0" w:color="auto"/>
                    <w:left w:val="none" w:sz="0" w:space="0" w:color="auto"/>
                    <w:bottom w:val="none" w:sz="0" w:space="0" w:color="auto"/>
                    <w:right w:val="none" w:sz="0" w:space="0" w:color="auto"/>
                  </w:divBdr>
                  <w:divsChild>
                    <w:div w:id="61413546">
                      <w:marLeft w:val="0"/>
                      <w:marRight w:val="0"/>
                      <w:marTop w:val="0"/>
                      <w:marBottom w:val="0"/>
                      <w:divBdr>
                        <w:top w:val="none" w:sz="0" w:space="0" w:color="auto"/>
                        <w:left w:val="none" w:sz="0" w:space="0" w:color="auto"/>
                        <w:bottom w:val="none" w:sz="0" w:space="0" w:color="auto"/>
                        <w:right w:val="none" w:sz="0" w:space="0" w:color="auto"/>
                      </w:divBdr>
                    </w:div>
                  </w:divsChild>
                </w:div>
                <w:div w:id="1885286786">
                  <w:marLeft w:val="0"/>
                  <w:marRight w:val="0"/>
                  <w:marTop w:val="0"/>
                  <w:marBottom w:val="0"/>
                  <w:divBdr>
                    <w:top w:val="none" w:sz="0" w:space="0" w:color="auto"/>
                    <w:left w:val="none" w:sz="0" w:space="0" w:color="auto"/>
                    <w:bottom w:val="none" w:sz="0" w:space="0" w:color="auto"/>
                    <w:right w:val="none" w:sz="0" w:space="0" w:color="auto"/>
                  </w:divBdr>
                  <w:divsChild>
                    <w:div w:id="125346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782854">
          <w:marLeft w:val="0"/>
          <w:marRight w:val="0"/>
          <w:marTop w:val="0"/>
          <w:marBottom w:val="0"/>
          <w:divBdr>
            <w:top w:val="none" w:sz="0" w:space="0" w:color="auto"/>
            <w:left w:val="none" w:sz="0" w:space="0" w:color="auto"/>
            <w:bottom w:val="none" w:sz="0" w:space="0" w:color="auto"/>
            <w:right w:val="none" w:sz="0" w:space="0" w:color="auto"/>
          </w:divBdr>
        </w:div>
        <w:div w:id="799420973">
          <w:marLeft w:val="0"/>
          <w:marRight w:val="0"/>
          <w:marTop w:val="0"/>
          <w:marBottom w:val="0"/>
          <w:divBdr>
            <w:top w:val="none" w:sz="0" w:space="0" w:color="auto"/>
            <w:left w:val="none" w:sz="0" w:space="0" w:color="auto"/>
            <w:bottom w:val="none" w:sz="0" w:space="0" w:color="auto"/>
            <w:right w:val="none" w:sz="0" w:space="0" w:color="auto"/>
          </w:divBdr>
        </w:div>
        <w:div w:id="456022212">
          <w:marLeft w:val="0"/>
          <w:marRight w:val="0"/>
          <w:marTop w:val="0"/>
          <w:marBottom w:val="0"/>
          <w:divBdr>
            <w:top w:val="none" w:sz="0" w:space="0" w:color="auto"/>
            <w:left w:val="none" w:sz="0" w:space="0" w:color="auto"/>
            <w:bottom w:val="none" w:sz="0" w:space="0" w:color="auto"/>
            <w:right w:val="none" w:sz="0" w:space="0" w:color="auto"/>
          </w:divBdr>
          <w:divsChild>
            <w:div w:id="1555656189">
              <w:marLeft w:val="-75"/>
              <w:marRight w:val="0"/>
              <w:marTop w:val="30"/>
              <w:marBottom w:val="30"/>
              <w:divBdr>
                <w:top w:val="none" w:sz="0" w:space="0" w:color="auto"/>
                <w:left w:val="none" w:sz="0" w:space="0" w:color="auto"/>
                <w:bottom w:val="none" w:sz="0" w:space="0" w:color="auto"/>
                <w:right w:val="none" w:sz="0" w:space="0" w:color="auto"/>
              </w:divBdr>
              <w:divsChild>
                <w:div w:id="1366296993">
                  <w:marLeft w:val="0"/>
                  <w:marRight w:val="0"/>
                  <w:marTop w:val="0"/>
                  <w:marBottom w:val="0"/>
                  <w:divBdr>
                    <w:top w:val="none" w:sz="0" w:space="0" w:color="auto"/>
                    <w:left w:val="none" w:sz="0" w:space="0" w:color="auto"/>
                    <w:bottom w:val="none" w:sz="0" w:space="0" w:color="auto"/>
                    <w:right w:val="none" w:sz="0" w:space="0" w:color="auto"/>
                  </w:divBdr>
                  <w:divsChild>
                    <w:div w:id="2117095341">
                      <w:marLeft w:val="0"/>
                      <w:marRight w:val="0"/>
                      <w:marTop w:val="0"/>
                      <w:marBottom w:val="0"/>
                      <w:divBdr>
                        <w:top w:val="none" w:sz="0" w:space="0" w:color="auto"/>
                        <w:left w:val="none" w:sz="0" w:space="0" w:color="auto"/>
                        <w:bottom w:val="none" w:sz="0" w:space="0" w:color="auto"/>
                        <w:right w:val="none" w:sz="0" w:space="0" w:color="auto"/>
                      </w:divBdr>
                    </w:div>
                  </w:divsChild>
                </w:div>
                <w:div w:id="438574970">
                  <w:marLeft w:val="0"/>
                  <w:marRight w:val="0"/>
                  <w:marTop w:val="0"/>
                  <w:marBottom w:val="0"/>
                  <w:divBdr>
                    <w:top w:val="none" w:sz="0" w:space="0" w:color="auto"/>
                    <w:left w:val="none" w:sz="0" w:space="0" w:color="auto"/>
                    <w:bottom w:val="none" w:sz="0" w:space="0" w:color="auto"/>
                    <w:right w:val="none" w:sz="0" w:space="0" w:color="auto"/>
                  </w:divBdr>
                  <w:divsChild>
                    <w:div w:id="47848591">
                      <w:marLeft w:val="0"/>
                      <w:marRight w:val="0"/>
                      <w:marTop w:val="0"/>
                      <w:marBottom w:val="0"/>
                      <w:divBdr>
                        <w:top w:val="none" w:sz="0" w:space="0" w:color="auto"/>
                        <w:left w:val="none" w:sz="0" w:space="0" w:color="auto"/>
                        <w:bottom w:val="none" w:sz="0" w:space="0" w:color="auto"/>
                        <w:right w:val="none" w:sz="0" w:space="0" w:color="auto"/>
                      </w:divBdr>
                    </w:div>
                  </w:divsChild>
                </w:div>
                <w:div w:id="1867988646">
                  <w:marLeft w:val="0"/>
                  <w:marRight w:val="0"/>
                  <w:marTop w:val="0"/>
                  <w:marBottom w:val="0"/>
                  <w:divBdr>
                    <w:top w:val="none" w:sz="0" w:space="0" w:color="auto"/>
                    <w:left w:val="none" w:sz="0" w:space="0" w:color="auto"/>
                    <w:bottom w:val="none" w:sz="0" w:space="0" w:color="auto"/>
                    <w:right w:val="none" w:sz="0" w:space="0" w:color="auto"/>
                  </w:divBdr>
                  <w:divsChild>
                    <w:div w:id="712121512">
                      <w:marLeft w:val="0"/>
                      <w:marRight w:val="0"/>
                      <w:marTop w:val="0"/>
                      <w:marBottom w:val="0"/>
                      <w:divBdr>
                        <w:top w:val="none" w:sz="0" w:space="0" w:color="auto"/>
                        <w:left w:val="none" w:sz="0" w:space="0" w:color="auto"/>
                        <w:bottom w:val="none" w:sz="0" w:space="0" w:color="auto"/>
                        <w:right w:val="none" w:sz="0" w:space="0" w:color="auto"/>
                      </w:divBdr>
                    </w:div>
                  </w:divsChild>
                </w:div>
                <w:div w:id="1540774232">
                  <w:marLeft w:val="0"/>
                  <w:marRight w:val="0"/>
                  <w:marTop w:val="0"/>
                  <w:marBottom w:val="0"/>
                  <w:divBdr>
                    <w:top w:val="none" w:sz="0" w:space="0" w:color="auto"/>
                    <w:left w:val="none" w:sz="0" w:space="0" w:color="auto"/>
                    <w:bottom w:val="none" w:sz="0" w:space="0" w:color="auto"/>
                    <w:right w:val="none" w:sz="0" w:space="0" w:color="auto"/>
                  </w:divBdr>
                  <w:divsChild>
                    <w:div w:id="2107192940">
                      <w:marLeft w:val="0"/>
                      <w:marRight w:val="0"/>
                      <w:marTop w:val="0"/>
                      <w:marBottom w:val="0"/>
                      <w:divBdr>
                        <w:top w:val="none" w:sz="0" w:space="0" w:color="auto"/>
                        <w:left w:val="none" w:sz="0" w:space="0" w:color="auto"/>
                        <w:bottom w:val="none" w:sz="0" w:space="0" w:color="auto"/>
                        <w:right w:val="none" w:sz="0" w:space="0" w:color="auto"/>
                      </w:divBdr>
                    </w:div>
                  </w:divsChild>
                </w:div>
                <w:div w:id="661390800">
                  <w:marLeft w:val="0"/>
                  <w:marRight w:val="0"/>
                  <w:marTop w:val="0"/>
                  <w:marBottom w:val="0"/>
                  <w:divBdr>
                    <w:top w:val="none" w:sz="0" w:space="0" w:color="auto"/>
                    <w:left w:val="none" w:sz="0" w:space="0" w:color="auto"/>
                    <w:bottom w:val="none" w:sz="0" w:space="0" w:color="auto"/>
                    <w:right w:val="none" w:sz="0" w:space="0" w:color="auto"/>
                  </w:divBdr>
                  <w:divsChild>
                    <w:div w:id="878512246">
                      <w:marLeft w:val="0"/>
                      <w:marRight w:val="0"/>
                      <w:marTop w:val="0"/>
                      <w:marBottom w:val="0"/>
                      <w:divBdr>
                        <w:top w:val="none" w:sz="0" w:space="0" w:color="auto"/>
                        <w:left w:val="none" w:sz="0" w:space="0" w:color="auto"/>
                        <w:bottom w:val="none" w:sz="0" w:space="0" w:color="auto"/>
                        <w:right w:val="none" w:sz="0" w:space="0" w:color="auto"/>
                      </w:divBdr>
                    </w:div>
                  </w:divsChild>
                </w:div>
                <w:div w:id="1196233785">
                  <w:marLeft w:val="0"/>
                  <w:marRight w:val="0"/>
                  <w:marTop w:val="0"/>
                  <w:marBottom w:val="0"/>
                  <w:divBdr>
                    <w:top w:val="none" w:sz="0" w:space="0" w:color="auto"/>
                    <w:left w:val="none" w:sz="0" w:space="0" w:color="auto"/>
                    <w:bottom w:val="none" w:sz="0" w:space="0" w:color="auto"/>
                    <w:right w:val="none" w:sz="0" w:space="0" w:color="auto"/>
                  </w:divBdr>
                  <w:divsChild>
                    <w:div w:id="150828289">
                      <w:marLeft w:val="0"/>
                      <w:marRight w:val="0"/>
                      <w:marTop w:val="0"/>
                      <w:marBottom w:val="0"/>
                      <w:divBdr>
                        <w:top w:val="none" w:sz="0" w:space="0" w:color="auto"/>
                        <w:left w:val="none" w:sz="0" w:space="0" w:color="auto"/>
                        <w:bottom w:val="none" w:sz="0" w:space="0" w:color="auto"/>
                        <w:right w:val="none" w:sz="0" w:space="0" w:color="auto"/>
                      </w:divBdr>
                    </w:div>
                  </w:divsChild>
                </w:div>
                <w:div w:id="182865466">
                  <w:marLeft w:val="0"/>
                  <w:marRight w:val="0"/>
                  <w:marTop w:val="0"/>
                  <w:marBottom w:val="0"/>
                  <w:divBdr>
                    <w:top w:val="none" w:sz="0" w:space="0" w:color="auto"/>
                    <w:left w:val="none" w:sz="0" w:space="0" w:color="auto"/>
                    <w:bottom w:val="none" w:sz="0" w:space="0" w:color="auto"/>
                    <w:right w:val="none" w:sz="0" w:space="0" w:color="auto"/>
                  </w:divBdr>
                  <w:divsChild>
                    <w:div w:id="1300917186">
                      <w:marLeft w:val="0"/>
                      <w:marRight w:val="0"/>
                      <w:marTop w:val="0"/>
                      <w:marBottom w:val="0"/>
                      <w:divBdr>
                        <w:top w:val="none" w:sz="0" w:space="0" w:color="auto"/>
                        <w:left w:val="none" w:sz="0" w:space="0" w:color="auto"/>
                        <w:bottom w:val="none" w:sz="0" w:space="0" w:color="auto"/>
                        <w:right w:val="none" w:sz="0" w:space="0" w:color="auto"/>
                      </w:divBdr>
                    </w:div>
                  </w:divsChild>
                </w:div>
                <w:div w:id="615992067">
                  <w:marLeft w:val="0"/>
                  <w:marRight w:val="0"/>
                  <w:marTop w:val="0"/>
                  <w:marBottom w:val="0"/>
                  <w:divBdr>
                    <w:top w:val="none" w:sz="0" w:space="0" w:color="auto"/>
                    <w:left w:val="none" w:sz="0" w:space="0" w:color="auto"/>
                    <w:bottom w:val="none" w:sz="0" w:space="0" w:color="auto"/>
                    <w:right w:val="none" w:sz="0" w:space="0" w:color="auto"/>
                  </w:divBdr>
                  <w:divsChild>
                    <w:div w:id="942541385">
                      <w:marLeft w:val="0"/>
                      <w:marRight w:val="0"/>
                      <w:marTop w:val="0"/>
                      <w:marBottom w:val="0"/>
                      <w:divBdr>
                        <w:top w:val="none" w:sz="0" w:space="0" w:color="auto"/>
                        <w:left w:val="none" w:sz="0" w:space="0" w:color="auto"/>
                        <w:bottom w:val="none" w:sz="0" w:space="0" w:color="auto"/>
                        <w:right w:val="none" w:sz="0" w:space="0" w:color="auto"/>
                      </w:divBdr>
                    </w:div>
                  </w:divsChild>
                </w:div>
                <w:div w:id="990405316">
                  <w:marLeft w:val="0"/>
                  <w:marRight w:val="0"/>
                  <w:marTop w:val="0"/>
                  <w:marBottom w:val="0"/>
                  <w:divBdr>
                    <w:top w:val="none" w:sz="0" w:space="0" w:color="auto"/>
                    <w:left w:val="none" w:sz="0" w:space="0" w:color="auto"/>
                    <w:bottom w:val="none" w:sz="0" w:space="0" w:color="auto"/>
                    <w:right w:val="none" w:sz="0" w:space="0" w:color="auto"/>
                  </w:divBdr>
                  <w:divsChild>
                    <w:div w:id="1411998605">
                      <w:marLeft w:val="0"/>
                      <w:marRight w:val="0"/>
                      <w:marTop w:val="0"/>
                      <w:marBottom w:val="0"/>
                      <w:divBdr>
                        <w:top w:val="none" w:sz="0" w:space="0" w:color="auto"/>
                        <w:left w:val="none" w:sz="0" w:space="0" w:color="auto"/>
                        <w:bottom w:val="none" w:sz="0" w:space="0" w:color="auto"/>
                        <w:right w:val="none" w:sz="0" w:space="0" w:color="auto"/>
                      </w:divBdr>
                    </w:div>
                  </w:divsChild>
                </w:div>
                <w:div w:id="1221281064">
                  <w:marLeft w:val="0"/>
                  <w:marRight w:val="0"/>
                  <w:marTop w:val="0"/>
                  <w:marBottom w:val="0"/>
                  <w:divBdr>
                    <w:top w:val="none" w:sz="0" w:space="0" w:color="auto"/>
                    <w:left w:val="none" w:sz="0" w:space="0" w:color="auto"/>
                    <w:bottom w:val="none" w:sz="0" w:space="0" w:color="auto"/>
                    <w:right w:val="none" w:sz="0" w:space="0" w:color="auto"/>
                  </w:divBdr>
                  <w:divsChild>
                    <w:div w:id="635910580">
                      <w:marLeft w:val="0"/>
                      <w:marRight w:val="0"/>
                      <w:marTop w:val="0"/>
                      <w:marBottom w:val="0"/>
                      <w:divBdr>
                        <w:top w:val="none" w:sz="0" w:space="0" w:color="auto"/>
                        <w:left w:val="none" w:sz="0" w:space="0" w:color="auto"/>
                        <w:bottom w:val="none" w:sz="0" w:space="0" w:color="auto"/>
                        <w:right w:val="none" w:sz="0" w:space="0" w:color="auto"/>
                      </w:divBdr>
                    </w:div>
                  </w:divsChild>
                </w:div>
                <w:div w:id="1686050241">
                  <w:marLeft w:val="0"/>
                  <w:marRight w:val="0"/>
                  <w:marTop w:val="0"/>
                  <w:marBottom w:val="0"/>
                  <w:divBdr>
                    <w:top w:val="none" w:sz="0" w:space="0" w:color="auto"/>
                    <w:left w:val="none" w:sz="0" w:space="0" w:color="auto"/>
                    <w:bottom w:val="none" w:sz="0" w:space="0" w:color="auto"/>
                    <w:right w:val="none" w:sz="0" w:space="0" w:color="auto"/>
                  </w:divBdr>
                  <w:divsChild>
                    <w:div w:id="712540108">
                      <w:marLeft w:val="0"/>
                      <w:marRight w:val="0"/>
                      <w:marTop w:val="0"/>
                      <w:marBottom w:val="0"/>
                      <w:divBdr>
                        <w:top w:val="none" w:sz="0" w:space="0" w:color="auto"/>
                        <w:left w:val="none" w:sz="0" w:space="0" w:color="auto"/>
                        <w:bottom w:val="none" w:sz="0" w:space="0" w:color="auto"/>
                        <w:right w:val="none" w:sz="0" w:space="0" w:color="auto"/>
                      </w:divBdr>
                    </w:div>
                  </w:divsChild>
                </w:div>
                <w:div w:id="1270772888">
                  <w:marLeft w:val="0"/>
                  <w:marRight w:val="0"/>
                  <w:marTop w:val="0"/>
                  <w:marBottom w:val="0"/>
                  <w:divBdr>
                    <w:top w:val="none" w:sz="0" w:space="0" w:color="auto"/>
                    <w:left w:val="none" w:sz="0" w:space="0" w:color="auto"/>
                    <w:bottom w:val="none" w:sz="0" w:space="0" w:color="auto"/>
                    <w:right w:val="none" w:sz="0" w:space="0" w:color="auto"/>
                  </w:divBdr>
                  <w:divsChild>
                    <w:div w:id="72595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704490">
          <w:marLeft w:val="0"/>
          <w:marRight w:val="0"/>
          <w:marTop w:val="0"/>
          <w:marBottom w:val="0"/>
          <w:divBdr>
            <w:top w:val="none" w:sz="0" w:space="0" w:color="auto"/>
            <w:left w:val="none" w:sz="0" w:space="0" w:color="auto"/>
            <w:bottom w:val="none" w:sz="0" w:space="0" w:color="auto"/>
            <w:right w:val="none" w:sz="0" w:space="0" w:color="auto"/>
          </w:divBdr>
        </w:div>
        <w:div w:id="1334530609">
          <w:marLeft w:val="0"/>
          <w:marRight w:val="0"/>
          <w:marTop w:val="0"/>
          <w:marBottom w:val="0"/>
          <w:divBdr>
            <w:top w:val="none" w:sz="0" w:space="0" w:color="auto"/>
            <w:left w:val="none" w:sz="0" w:space="0" w:color="auto"/>
            <w:bottom w:val="none" w:sz="0" w:space="0" w:color="auto"/>
            <w:right w:val="none" w:sz="0" w:space="0" w:color="auto"/>
          </w:divBdr>
        </w:div>
        <w:div w:id="732509174">
          <w:marLeft w:val="0"/>
          <w:marRight w:val="0"/>
          <w:marTop w:val="0"/>
          <w:marBottom w:val="0"/>
          <w:divBdr>
            <w:top w:val="none" w:sz="0" w:space="0" w:color="auto"/>
            <w:left w:val="none" w:sz="0" w:space="0" w:color="auto"/>
            <w:bottom w:val="none" w:sz="0" w:space="0" w:color="auto"/>
            <w:right w:val="none" w:sz="0" w:space="0" w:color="auto"/>
          </w:divBdr>
          <w:divsChild>
            <w:div w:id="1619290304">
              <w:marLeft w:val="-75"/>
              <w:marRight w:val="0"/>
              <w:marTop w:val="30"/>
              <w:marBottom w:val="30"/>
              <w:divBdr>
                <w:top w:val="none" w:sz="0" w:space="0" w:color="auto"/>
                <w:left w:val="none" w:sz="0" w:space="0" w:color="auto"/>
                <w:bottom w:val="none" w:sz="0" w:space="0" w:color="auto"/>
                <w:right w:val="none" w:sz="0" w:space="0" w:color="auto"/>
              </w:divBdr>
              <w:divsChild>
                <w:div w:id="1844851353">
                  <w:marLeft w:val="0"/>
                  <w:marRight w:val="0"/>
                  <w:marTop w:val="0"/>
                  <w:marBottom w:val="0"/>
                  <w:divBdr>
                    <w:top w:val="none" w:sz="0" w:space="0" w:color="auto"/>
                    <w:left w:val="none" w:sz="0" w:space="0" w:color="auto"/>
                    <w:bottom w:val="none" w:sz="0" w:space="0" w:color="auto"/>
                    <w:right w:val="none" w:sz="0" w:space="0" w:color="auto"/>
                  </w:divBdr>
                  <w:divsChild>
                    <w:div w:id="1310282133">
                      <w:marLeft w:val="0"/>
                      <w:marRight w:val="0"/>
                      <w:marTop w:val="0"/>
                      <w:marBottom w:val="0"/>
                      <w:divBdr>
                        <w:top w:val="none" w:sz="0" w:space="0" w:color="auto"/>
                        <w:left w:val="none" w:sz="0" w:space="0" w:color="auto"/>
                        <w:bottom w:val="none" w:sz="0" w:space="0" w:color="auto"/>
                        <w:right w:val="none" w:sz="0" w:space="0" w:color="auto"/>
                      </w:divBdr>
                    </w:div>
                  </w:divsChild>
                </w:div>
                <w:div w:id="416679156">
                  <w:marLeft w:val="0"/>
                  <w:marRight w:val="0"/>
                  <w:marTop w:val="0"/>
                  <w:marBottom w:val="0"/>
                  <w:divBdr>
                    <w:top w:val="none" w:sz="0" w:space="0" w:color="auto"/>
                    <w:left w:val="none" w:sz="0" w:space="0" w:color="auto"/>
                    <w:bottom w:val="none" w:sz="0" w:space="0" w:color="auto"/>
                    <w:right w:val="none" w:sz="0" w:space="0" w:color="auto"/>
                  </w:divBdr>
                  <w:divsChild>
                    <w:div w:id="697854564">
                      <w:marLeft w:val="0"/>
                      <w:marRight w:val="0"/>
                      <w:marTop w:val="0"/>
                      <w:marBottom w:val="0"/>
                      <w:divBdr>
                        <w:top w:val="none" w:sz="0" w:space="0" w:color="auto"/>
                        <w:left w:val="none" w:sz="0" w:space="0" w:color="auto"/>
                        <w:bottom w:val="none" w:sz="0" w:space="0" w:color="auto"/>
                        <w:right w:val="none" w:sz="0" w:space="0" w:color="auto"/>
                      </w:divBdr>
                    </w:div>
                  </w:divsChild>
                </w:div>
                <w:div w:id="1209298152">
                  <w:marLeft w:val="0"/>
                  <w:marRight w:val="0"/>
                  <w:marTop w:val="0"/>
                  <w:marBottom w:val="0"/>
                  <w:divBdr>
                    <w:top w:val="none" w:sz="0" w:space="0" w:color="auto"/>
                    <w:left w:val="none" w:sz="0" w:space="0" w:color="auto"/>
                    <w:bottom w:val="none" w:sz="0" w:space="0" w:color="auto"/>
                    <w:right w:val="none" w:sz="0" w:space="0" w:color="auto"/>
                  </w:divBdr>
                  <w:divsChild>
                    <w:div w:id="421806527">
                      <w:marLeft w:val="0"/>
                      <w:marRight w:val="0"/>
                      <w:marTop w:val="0"/>
                      <w:marBottom w:val="0"/>
                      <w:divBdr>
                        <w:top w:val="none" w:sz="0" w:space="0" w:color="auto"/>
                        <w:left w:val="none" w:sz="0" w:space="0" w:color="auto"/>
                        <w:bottom w:val="none" w:sz="0" w:space="0" w:color="auto"/>
                        <w:right w:val="none" w:sz="0" w:space="0" w:color="auto"/>
                      </w:divBdr>
                    </w:div>
                  </w:divsChild>
                </w:div>
                <w:div w:id="697507509">
                  <w:marLeft w:val="0"/>
                  <w:marRight w:val="0"/>
                  <w:marTop w:val="0"/>
                  <w:marBottom w:val="0"/>
                  <w:divBdr>
                    <w:top w:val="none" w:sz="0" w:space="0" w:color="auto"/>
                    <w:left w:val="none" w:sz="0" w:space="0" w:color="auto"/>
                    <w:bottom w:val="none" w:sz="0" w:space="0" w:color="auto"/>
                    <w:right w:val="none" w:sz="0" w:space="0" w:color="auto"/>
                  </w:divBdr>
                  <w:divsChild>
                    <w:div w:id="819079545">
                      <w:marLeft w:val="0"/>
                      <w:marRight w:val="0"/>
                      <w:marTop w:val="0"/>
                      <w:marBottom w:val="0"/>
                      <w:divBdr>
                        <w:top w:val="none" w:sz="0" w:space="0" w:color="auto"/>
                        <w:left w:val="none" w:sz="0" w:space="0" w:color="auto"/>
                        <w:bottom w:val="none" w:sz="0" w:space="0" w:color="auto"/>
                        <w:right w:val="none" w:sz="0" w:space="0" w:color="auto"/>
                      </w:divBdr>
                    </w:div>
                  </w:divsChild>
                </w:div>
                <w:div w:id="572156051">
                  <w:marLeft w:val="0"/>
                  <w:marRight w:val="0"/>
                  <w:marTop w:val="0"/>
                  <w:marBottom w:val="0"/>
                  <w:divBdr>
                    <w:top w:val="none" w:sz="0" w:space="0" w:color="auto"/>
                    <w:left w:val="none" w:sz="0" w:space="0" w:color="auto"/>
                    <w:bottom w:val="none" w:sz="0" w:space="0" w:color="auto"/>
                    <w:right w:val="none" w:sz="0" w:space="0" w:color="auto"/>
                  </w:divBdr>
                  <w:divsChild>
                    <w:div w:id="189152545">
                      <w:marLeft w:val="0"/>
                      <w:marRight w:val="0"/>
                      <w:marTop w:val="0"/>
                      <w:marBottom w:val="0"/>
                      <w:divBdr>
                        <w:top w:val="none" w:sz="0" w:space="0" w:color="auto"/>
                        <w:left w:val="none" w:sz="0" w:space="0" w:color="auto"/>
                        <w:bottom w:val="none" w:sz="0" w:space="0" w:color="auto"/>
                        <w:right w:val="none" w:sz="0" w:space="0" w:color="auto"/>
                      </w:divBdr>
                    </w:div>
                  </w:divsChild>
                </w:div>
                <w:div w:id="1929388300">
                  <w:marLeft w:val="0"/>
                  <w:marRight w:val="0"/>
                  <w:marTop w:val="0"/>
                  <w:marBottom w:val="0"/>
                  <w:divBdr>
                    <w:top w:val="none" w:sz="0" w:space="0" w:color="auto"/>
                    <w:left w:val="none" w:sz="0" w:space="0" w:color="auto"/>
                    <w:bottom w:val="none" w:sz="0" w:space="0" w:color="auto"/>
                    <w:right w:val="none" w:sz="0" w:space="0" w:color="auto"/>
                  </w:divBdr>
                  <w:divsChild>
                    <w:div w:id="1840348342">
                      <w:marLeft w:val="0"/>
                      <w:marRight w:val="0"/>
                      <w:marTop w:val="0"/>
                      <w:marBottom w:val="0"/>
                      <w:divBdr>
                        <w:top w:val="none" w:sz="0" w:space="0" w:color="auto"/>
                        <w:left w:val="none" w:sz="0" w:space="0" w:color="auto"/>
                        <w:bottom w:val="none" w:sz="0" w:space="0" w:color="auto"/>
                        <w:right w:val="none" w:sz="0" w:space="0" w:color="auto"/>
                      </w:divBdr>
                    </w:div>
                  </w:divsChild>
                </w:div>
                <w:div w:id="289022647">
                  <w:marLeft w:val="0"/>
                  <w:marRight w:val="0"/>
                  <w:marTop w:val="0"/>
                  <w:marBottom w:val="0"/>
                  <w:divBdr>
                    <w:top w:val="none" w:sz="0" w:space="0" w:color="auto"/>
                    <w:left w:val="none" w:sz="0" w:space="0" w:color="auto"/>
                    <w:bottom w:val="none" w:sz="0" w:space="0" w:color="auto"/>
                    <w:right w:val="none" w:sz="0" w:space="0" w:color="auto"/>
                  </w:divBdr>
                  <w:divsChild>
                    <w:div w:id="1599559233">
                      <w:marLeft w:val="0"/>
                      <w:marRight w:val="0"/>
                      <w:marTop w:val="0"/>
                      <w:marBottom w:val="0"/>
                      <w:divBdr>
                        <w:top w:val="none" w:sz="0" w:space="0" w:color="auto"/>
                        <w:left w:val="none" w:sz="0" w:space="0" w:color="auto"/>
                        <w:bottom w:val="none" w:sz="0" w:space="0" w:color="auto"/>
                        <w:right w:val="none" w:sz="0" w:space="0" w:color="auto"/>
                      </w:divBdr>
                    </w:div>
                  </w:divsChild>
                </w:div>
                <w:div w:id="569004948">
                  <w:marLeft w:val="0"/>
                  <w:marRight w:val="0"/>
                  <w:marTop w:val="0"/>
                  <w:marBottom w:val="0"/>
                  <w:divBdr>
                    <w:top w:val="none" w:sz="0" w:space="0" w:color="auto"/>
                    <w:left w:val="none" w:sz="0" w:space="0" w:color="auto"/>
                    <w:bottom w:val="none" w:sz="0" w:space="0" w:color="auto"/>
                    <w:right w:val="none" w:sz="0" w:space="0" w:color="auto"/>
                  </w:divBdr>
                  <w:divsChild>
                    <w:div w:id="1685788064">
                      <w:marLeft w:val="0"/>
                      <w:marRight w:val="0"/>
                      <w:marTop w:val="0"/>
                      <w:marBottom w:val="0"/>
                      <w:divBdr>
                        <w:top w:val="none" w:sz="0" w:space="0" w:color="auto"/>
                        <w:left w:val="none" w:sz="0" w:space="0" w:color="auto"/>
                        <w:bottom w:val="none" w:sz="0" w:space="0" w:color="auto"/>
                        <w:right w:val="none" w:sz="0" w:space="0" w:color="auto"/>
                      </w:divBdr>
                    </w:div>
                  </w:divsChild>
                </w:div>
                <w:div w:id="1708917670">
                  <w:marLeft w:val="0"/>
                  <w:marRight w:val="0"/>
                  <w:marTop w:val="0"/>
                  <w:marBottom w:val="0"/>
                  <w:divBdr>
                    <w:top w:val="none" w:sz="0" w:space="0" w:color="auto"/>
                    <w:left w:val="none" w:sz="0" w:space="0" w:color="auto"/>
                    <w:bottom w:val="none" w:sz="0" w:space="0" w:color="auto"/>
                    <w:right w:val="none" w:sz="0" w:space="0" w:color="auto"/>
                  </w:divBdr>
                  <w:divsChild>
                    <w:div w:id="1674842936">
                      <w:marLeft w:val="0"/>
                      <w:marRight w:val="0"/>
                      <w:marTop w:val="0"/>
                      <w:marBottom w:val="0"/>
                      <w:divBdr>
                        <w:top w:val="none" w:sz="0" w:space="0" w:color="auto"/>
                        <w:left w:val="none" w:sz="0" w:space="0" w:color="auto"/>
                        <w:bottom w:val="none" w:sz="0" w:space="0" w:color="auto"/>
                        <w:right w:val="none" w:sz="0" w:space="0" w:color="auto"/>
                      </w:divBdr>
                    </w:div>
                  </w:divsChild>
                </w:div>
                <w:div w:id="1560704100">
                  <w:marLeft w:val="0"/>
                  <w:marRight w:val="0"/>
                  <w:marTop w:val="0"/>
                  <w:marBottom w:val="0"/>
                  <w:divBdr>
                    <w:top w:val="none" w:sz="0" w:space="0" w:color="auto"/>
                    <w:left w:val="none" w:sz="0" w:space="0" w:color="auto"/>
                    <w:bottom w:val="none" w:sz="0" w:space="0" w:color="auto"/>
                    <w:right w:val="none" w:sz="0" w:space="0" w:color="auto"/>
                  </w:divBdr>
                  <w:divsChild>
                    <w:div w:id="281810047">
                      <w:marLeft w:val="0"/>
                      <w:marRight w:val="0"/>
                      <w:marTop w:val="0"/>
                      <w:marBottom w:val="0"/>
                      <w:divBdr>
                        <w:top w:val="none" w:sz="0" w:space="0" w:color="auto"/>
                        <w:left w:val="none" w:sz="0" w:space="0" w:color="auto"/>
                        <w:bottom w:val="none" w:sz="0" w:space="0" w:color="auto"/>
                        <w:right w:val="none" w:sz="0" w:space="0" w:color="auto"/>
                      </w:divBdr>
                    </w:div>
                  </w:divsChild>
                </w:div>
                <w:div w:id="1665427060">
                  <w:marLeft w:val="0"/>
                  <w:marRight w:val="0"/>
                  <w:marTop w:val="0"/>
                  <w:marBottom w:val="0"/>
                  <w:divBdr>
                    <w:top w:val="none" w:sz="0" w:space="0" w:color="auto"/>
                    <w:left w:val="none" w:sz="0" w:space="0" w:color="auto"/>
                    <w:bottom w:val="none" w:sz="0" w:space="0" w:color="auto"/>
                    <w:right w:val="none" w:sz="0" w:space="0" w:color="auto"/>
                  </w:divBdr>
                  <w:divsChild>
                    <w:div w:id="99996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407249">
          <w:marLeft w:val="0"/>
          <w:marRight w:val="0"/>
          <w:marTop w:val="0"/>
          <w:marBottom w:val="0"/>
          <w:divBdr>
            <w:top w:val="none" w:sz="0" w:space="0" w:color="auto"/>
            <w:left w:val="none" w:sz="0" w:space="0" w:color="auto"/>
            <w:bottom w:val="none" w:sz="0" w:space="0" w:color="auto"/>
            <w:right w:val="none" w:sz="0" w:space="0" w:color="auto"/>
          </w:divBdr>
        </w:div>
        <w:div w:id="674654693">
          <w:marLeft w:val="0"/>
          <w:marRight w:val="0"/>
          <w:marTop w:val="0"/>
          <w:marBottom w:val="0"/>
          <w:divBdr>
            <w:top w:val="none" w:sz="0" w:space="0" w:color="auto"/>
            <w:left w:val="none" w:sz="0" w:space="0" w:color="auto"/>
            <w:bottom w:val="none" w:sz="0" w:space="0" w:color="auto"/>
            <w:right w:val="none" w:sz="0" w:space="0" w:color="auto"/>
          </w:divBdr>
        </w:div>
        <w:div w:id="352809027">
          <w:marLeft w:val="0"/>
          <w:marRight w:val="0"/>
          <w:marTop w:val="0"/>
          <w:marBottom w:val="0"/>
          <w:divBdr>
            <w:top w:val="none" w:sz="0" w:space="0" w:color="auto"/>
            <w:left w:val="none" w:sz="0" w:space="0" w:color="auto"/>
            <w:bottom w:val="none" w:sz="0" w:space="0" w:color="auto"/>
            <w:right w:val="none" w:sz="0" w:space="0" w:color="auto"/>
          </w:divBdr>
        </w:div>
        <w:div w:id="1650551605">
          <w:marLeft w:val="0"/>
          <w:marRight w:val="0"/>
          <w:marTop w:val="0"/>
          <w:marBottom w:val="0"/>
          <w:divBdr>
            <w:top w:val="none" w:sz="0" w:space="0" w:color="auto"/>
            <w:left w:val="none" w:sz="0" w:space="0" w:color="auto"/>
            <w:bottom w:val="none" w:sz="0" w:space="0" w:color="auto"/>
            <w:right w:val="none" w:sz="0" w:space="0" w:color="auto"/>
          </w:divBdr>
        </w:div>
        <w:div w:id="2062636284">
          <w:marLeft w:val="0"/>
          <w:marRight w:val="0"/>
          <w:marTop w:val="0"/>
          <w:marBottom w:val="0"/>
          <w:divBdr>
            <w:top w:val="none" w:sz="0" w:space="0" w:color="auto"/>
            <w:left w:val="none" w:sz="0" w:space="0" w:color="auto"/>
            <w:bottom w:val="none" w:sz="0" w:space="0" w:color="auto"/>
            <w:right w:val="none" w:sz="0" w:space="0" w:color="auto"/>
          </w:divBdr>
        </w:div>
        <w:div w:id="1642613747">
          <w:marLeft w:val="0"/>
          <w:marRight w:val="0"/>
          <w:marTop w:val="0"/>
          <w:marBottom w:val="0"/>
          <w:divBdr>
            <w:top w:val="none" w:sz="0" w:space="0" w:color="auto"/>
            <w:left w:val="none" w:sz="0" w:space="0" w:color="auto"/>
            <w:bottom w:val="none" w:sz="0" w:space="0" w:color="auto"/>
            <w:right w:val="none" w:sz="0" w:space="0" w:color="auto"/>
          </w:divBdr>
        </w:div>
        <w:div w:id="1449855451">
          <w:marLeft w:val="0"/>
          <w:marRight w:val="0"/>
          <w:marTop w:val="0"/>
          <w:marBottom w:val="0"/>
          <w:divBdr>
            <w:top w:val="none" w:sz="0" w:space="0" w:color="auto"/>
            <w:left w:val="none" w:sz="0" w:space="0" w:color="auto"/>
            <w:bottom w:val="none" w:sz="0" w:space="0" w:color="auto"/>
            <w:right w:val="none" w:sz="0" w:space="0" w:color="auto"/>
          </w:divBdr>
        </w:div>
        <w:div w:id="820655545">
          <w:marLeft w:val="0"/>
          <w:marRight w:val="0"/>
          <w:marTop w:val="0"/>
          <w:marBottom w:val="0"/>
          <w:divBdr>
            <w:top w:val="none" w:sz="0" w:space="0" w:color="auto"/>
            <w:left w:val="none" w:sz="0" w:space="0" w:color="auto"/>
            <w:bottom w:val="none" w:sz="0" w:space="0" w:color="auto"/>
            <w:right w:val="none" w:sz="0" w:space="0" w:color="auto"/>
          </w:divBdr>
        </w:div>
        <w:div w:id="154154887">
          <w:marLeft w:val="0"/>
          <w:marRight w:val="0"/>
          <w:marTop w:val="0"/>
          <w:marBottom w:val="0"/>
          <w:divBdr>
            <w:top w:val="none" w:sz="0" w:space="0" w:color="auto"/>
            <w:left w:val="none" w:sz="0" w:space="0" w:color="auto"/>
            <w:bottom w:val="none" w:sz="0" w:space="0" w:color="auto"/>
            <w:right w:val="none" w:sz="0" w:space="0" w:color="auto"/>
          </w:divBdr>
        </w:div>
      </w:divsChild>
    </w:div>
    <w:div w:id="1442140727">
      <w:marLeft w:val="0"/>
      <w:marRight w:val="0"/>
      <w:marTop w:val="0"/>
      <w:marBottom w:val="0"/>
      <w:divBdr>
        <w:top w:val="none" w:sz="0" w:space="0" w:color="auto"/>
        <w:left w:val="none" w:sz="0" w:space="0" w:color="auto"/>
        <w:bottom w:val="none" w:sz="0" w:space="0" w:color="auto"/>
        <w:right w:val="none" w:sz="0" w:space="0" w:color="auto"/>
      </w:divBdr>
      <w:divsChild>
        <w:div w:id="1231231784">
          <w:marLeft w:val="0"/>
          <w:marRight w:val="0"/>
          <w:marTop w:val="0"/>
          <w:marBottom w:val="0"/>
          <w:divBdr>
            <w:top w:val="none" w:sz="0" w:space="0" w:color="auto"/>
            <w:left w:val="none" w:sz="0" w:space="0" w:color="auto"/>
            <w:bottom w:val="none" w:sz="0" w:space="0" w:color="auto"/>
            <w:right w:val="none" w:sz="0" w:space="0" w:color="auto"/>
          </w:divBdr>
        </w:div>
      </w:divsChild>
    </w:div>
    <w:div w:id="1442455076">
      <w:bodyDiv w:val="1"/>
      <w:marLeft w:val="0"/>
      <w:marRight w:val="0"/>
      <w:marTop w:val="0"/>
      <w:marBottom w:val="0"/>
      <w:divBdr>
        <w:top w:val="none" w:sz="0" w:space="0" w:color="auto"/>
        <w:left w:val="none" w:sz="0" w:space="0" w:color="auto"/>
        <w:bottom w:val="none" w:sz="0" w:space="0" w:color="auto"/>
        <w:right w:val="none" w:sz="0" w:space="0" w:color="auto"/>
      </w:divBdr>
    </w:div>
    <w:div w:id="1450853202">
      <w:bodyDiv w:val="1"/>
      <w:marLeft w:val="0"/>
      <w:marRight w:val="0"/>
      <w:marTop w:val="0"/>
      <w:marBottom w:val="0"/>
      <w:divBdr>
        <w:top w:val="none" w:sz="0" w:space="0" w:color="auto"/>
        <w:left w:val="none" w:sz="0" w:space="0" w:color="auto"/>
        <w:bottom w:val="none" w:sz="0" w:space="0" w:color="auto"/>
        <w:right w:val="none" w:sz="0" w:space="0" w:color="auto"/>
      </w:divBdr>
    </w:div>
    <w:div w:id="1458790588">
      <w:marLeft w:val="0"/>
      <w:marRight w:val="0"/>
      <w:marTop w:val="0"/>
      <w:marBottom w:val="0"/>
      <w:divBdr>
        <w:top w:val="none" w:sz="0" w:space="0" w:color="auto"/>
        <w:left w:val="none" w:sz="0" w:space="0" w:color="auto"/>
        <w:bottom w:val="none" w:sz="0" w:space="0" w:color="auto"/>
        <w:right w:val="none" w:sz="0" w:space="0" w:color="auto"/>
      </w:divBdr>
      <w:divsChild>
        <w:div w:id="1001472837">
          <w:marLeft w:val="0"/>
          <w:marRight w:val="0"/>
          <w:marTop w:val="0"/>
          <w:marBottom w:val="0"/>
          <w:divBdr>
            <w:top w:val="none" w:sz="0" w:space="0" w:color="auto"/>
            <w:left w:val="none" w:sz="0" w:space="0" w:color="auto"/>
            <w:bottom w:val="none" w:sz="0" w:space="0" w:color="auto"/>
            <w:right w:val="none" w:sz="0" w:space="0" w:color="auto"/>
          </w:divBdr>
        </w:div>
      </w:divsChild>
    </w:div>
    <w:div w:id="1464150735">
      <w:bodyDiv w:val="1"/>
      <w:marLeft w:val="0"/>
      <w:marRight w:val="0"/>
      <w:marTop w:val="0"/>
      <w:marBottom w:val="0"/>
      <w:divBdr>
        <w:top w:val="none" w:sz="0" w:space="0" w:color="auto"/>
        <w:left w:val="none" w:sz="0" w:space="0" w:color="auto"/>
        <w:bottom w:val="none" w:sz="0" w:space="0" w:color="auto"/>
        <w:right w:val="none" w:sz="0" w:space="0" w:color="auto"/>
      </w:divBdr>
      <w:divsChild>
        <w:div w:id="549003879">
          <w:marLeft w:val="0"/>
          <w:marRight w:val="0"/>
          <w:marTop w:val="0"/>
          <w:marBottom w:val="0"/>
          <w:divBdr>
            <w:top w:val="none" w:sz="0" w:space="0" w:color="auto"/>
            <w:left w:val="none" w:sz="0" w:space="0" w:color="auto"/>
            <w:bottom w:val="none" w:sz="0" w:space="0" w:color="auto"/>
            <w:right w:val="none" w:sz="0" w:space="0" w:color="auto"/>
          </w:divBdr>
        </w:div>
      </w:divsChild>
    </w:div>
    <w:div w:id="1469975988">
      <w:marLeft w:val="0"/>
      <w:marRight w:val="0"/>
      <w:marTop w:val="0"/>
      <w:marBottom w:val="0"/>
      <w:divBdr>
        <w:top w:val="none" w:sz="0" w:space="0" w:color="auto"/>
        <w:left w:val="none" w:sz="0" w:space="0" w:color="auto"/>
        <w:bottom w:val="none" w:sz="0" w:space="0" w:color="auto"/>
        <w:right w:val="none" w:sz="0" w:space="0" w:color="auto"/>
      </w:divBdr>
      <w:divsChild>
        <w:div w:id="1603108598">
          <w:marLeft w:val="0"/>
          <w:marRight w:val="0"/>
          <w:marTop w:val="0"/>
          <w:marBottom w:val="0"/>
          <w:divBdr>
            <w:top w:val="none" w:sz="0" w:space="0" w:color="auto"/>
            <w:left w:val="none" w:sz="0" w:space="0" w:color="auto"/>
            <w:bottom w:val="none" w:sz="0" w:space="0" w:color="auto"/>
            <w:right w:val="none" w:sz="0" w:space="0" w:color="auto"/>
          </w:divBdr>
        </w:div>
      </w:divsChild>
    </w:div>
    <w:div w:id="1485513887">
      <w:bodyDiv w:val="1"/>
      <w:marLeft w:val="0"/>
      <w:marRight w:val="0"/>
      <w:marTop w:val="0"/>
      <w:marBottom w:val="0"/>
      <w:divBdr>
        <w:top w:val="none" w:sz="0" w:space="0" w:color="auto"/>
        <w:left w:val="none" w:sz="0" w:space="0" w:color="auto"/>
        <w:bottom w:val="none" w:sz="0" w:space="0" w:color="auto"/>
        <w:right w:val="none" w:sz="0" w:space="0" w:color="auto"/>
      </w:divBdr>
      <w:divsChild>
        <w:div w:id="62337637">
          <w:marLeft w:val="0"/>
          <w:marRight w:val="0"/>
          <w:marTop w:val="0"/>
          <w:marBottom w:val="0"/>
          <w:divBdr>
            <w:top w:val="none" w:sz="0" w:space="0" w:color="auto"/>
            <w:left w:val="none" w:sz="0" w:space="0" w:color="auto"/>
            <w:bottom w:val="none" w:sz="0" w:space="0" w:color="auto"/>
            <w:right w:val="none" w:sz="0" w:space="0" w:color="auto"/>
          </w:divBdr>
        </w:div>
        <w:div w:id="126047409">
          <w:marLeft w:val="0"/>
          <w:marRight w:val="0"/>
          <w:marTop w:val="0"/>
          <w:marBottom w:val="0"/>
          <w:divBdr>
            <w:top w:val="none" w:sz="0" w:space="0" w:color="auto"/>
            <w:left w:val="none" w:sz="0" w:space="0" w:color="auto"/>
            <w:bottom w:val="none" w:sz="0" w:space="0" w:color="auto"/>
            <w:right w:val="none" w:sz="0" w:space="0" w:color="auto"/>
          </w:divBdr>
        </w:div>
        <w:div w:id="430517792">
          <w:marLeft w:val="0"/>
          <w:marRight w:val="0"/>
          <w:marTop w:val="0"/>
          <w:marBottom w:val="0"/>
          <w:divBdr>
            <w:top w:val="none" w:sz="0" w:space="0" w:color="auto"/>
            <w:left w:val="none" w:sz="0" w:space="0" w:color="auto"/>
            <w:bottom w:val="none" w:sz="0" w:space="0" w:color="auto"/>
            <w:right w:val="none" w:sz="0" w:space="0" w:color="auto"/>
          </w:divBdr>
        </w:div>
        <w:div w:id="476074429">
          <w:marLeft w:val="0"/>
          <w:marRight w:val="0"/>
          <w:marTop w:val="0"/>
          <w:marBottom w:val="0"/>
          <w:divBdr>
            <w:top w:val="none" w:sz="0" w:space="0" w:color="auto"/>
            <w:left w:val="none" w:sz="0" w:space="0" w:color="auto"/>
            <w:bottom w:val="none" w:sz="0" w:space="0" w:color="auto"/>
            <w:right w:val="none" w:sz="0" w:space="0" w:color="auto"/>
          </w:divBdr>
        </w:div>
        <w:div w:id="534390075">
          <w:marLeft w:val="0"/>
          <w:marRight w:val="0"/>
          <w:marTop w:val="0"/>
          <w:marBottom w:val="0"/>
          <w:divBdr>
            <w:top w:val="none" w:sz="0" w:space="0" w:color="auto"/>
            <w:left w:val="none" w:sz="0" w:space="0" w:color="auto"/>
            <w:bottom w:val="none" w:sz="0" w:space="0" w:color="auto"/>
            <w:right w:val="none" w:sz="0" w:space="0" w:color="auto"/>
          </w:divBdr>
        </w:div>
        <w:div w:id="642731183">
          <w:marLeft w:val="0"/>
          <w:marRight w:val="0"/>
          <w:marTop w:val="0"/>
          <w:marBottom w:val="0"/>
          <w:divBdr>
            <w:top w:val="none" w:sz="0" w:space="0" w:color="auto"/>
            <w:left w:val="none" w:sz="0" w:space="0" w:color="auto"/>
            <w:bottom w:val="none" w:sz="0" w:space="0" w:color="auto"/>
            <w:right w:val="none" w:sz="0" w:space="0" w:color="auto"/>
          </w:divBdr>
        </w:div>
        <w:div w:id="672604935">
          <w:marLeft w:val="0"/>
          <w:marRight w:val="0"/>
          <w:marTop w:val="0"/>
          <w:marBottom w:val="0"/>
          <w:divBdr>
            <w:top w:val="none" w:sz="0" w:space="0" w:color="auto"/>
            <w:left w:val="none" w:sz="0" w:space="0" w:color="auto"/>
            <w:bottom w:val="none" w:sz="0" w:space="0" w:color="auto"/>
            <w:right w:val="none" w:sz="0" w:space="0" w:color="auto"/>
          </w:divBdr>
        </w:div>
        <w:div w:id="686712449">
          <w:marLeft w:val="0"/>
          <w:marRight w:val="0"/>
          <w:marTop w:val="0"/>
          <w:marBottom w:val="0"/>
          <w:divBdr>
            <w:top w:val="none" w:sz="0" w:space="0" w:color="auto"/>
            <w:left w:val="none" w:sz="0" w:space="0" w:color="auto"/>
            <w:bottom w:val="none" w:sz="0" w:space="0" w:color="auto"/>
            <w:right w:val="none" w:sz="0" w:space="0" w:color="auto"/>
          </w:divBdr>
        </w:div>
        <w:div w:id="871497991">
          <w:marLeft w:val="0"/>
          <w:marRight w:val="0"/>
          <w:marTop w:val="0"/>
          <w:marBottom w:val="0"/>
          <w:divBdr>
            <w:top w:val="none" w:sz="0" w:space="0" w:color="auto"/>
            <w:left w:val="none" w:sz="0" w:space="0" w:color="auto"/>
            <w:bottom w:val="none" w:sz="0" w:space="0" w:color="auto"/>
            <w:right w:val="none" w:sz="0" w:space="0" w:color="auto"/>
          </w:divBdr>
        </w:div>
        <w:div w:id="1237204754">
          <w:marLeft w:val="0"/>
          <w:marRight w:val="0"/>
          <w:marTop w:val="0"/>
          <w:marBottom w:val="0"/>
          <w:divBdr>
            <w:top w:val="none" w:sz="0" w:space="0" w:color="auto"/>
            <w:left w:val="none" w:sz="0" w:space="0" w:color="auto"/>
            <w:bottom w:val="none" w:sz="0" w:space="0" w:color="auto"/>
            <w:right w:val="none" w:sz="0" w:space="0" w:color="auto"/>
          </w:divBdr>
        </w:div>
        <w:div w:id="1333609184">
          <w:marLeft w:val="0"/>
          <w:marRight w:val="0"/>
          <w:marTop w:val="0"/>
          <w:marBottom w:val="0"/>
          <w:divBdr>
            <w:top w:val="none" w:sz="0" w:space="0" w:color="auto"/>
            <w:left w:val="none" w:sz="0" w:space="0" w:color="auto"/>
            <w:bottom w:val="none" w:sz="0" w:space="0" w:color="auto"/>
            <w:right w:val="none" w:sz="0" w:space="0" w:color="auto"/>
          </w:divBdr>
        </w:div>
        <w:div w:id="1374114471">
          <w:marLeft w:val="0"/>
          <w:marRight w:val="0"/>
          <w:marTop w:val="0"/>
          <w:marBottom w:val="0"/>
          <w:divBdr>
            <w:top w:val="none" w:sz="0" w:space="0" w:color="auto"/>
            <w:left w:val="none" w:sz="0" w:space="0" w:color="auto"/>
            <w:bottom w:val="none" w:sz="0" w:space="0" w:color="auto"/>
            <w:right w:val="none" w:sz="0" w:space="0" w:color="auto"/>
          </w:divBdr>
        </w:div>
        <w:div w:id="1708679880">
          <w:marLeft w:val="0"/>
          <w:marRight w:val="0"/>
          <w:marTop w:val="0"/>
          <w:marBottom w:val="0"/>
          <w:divBdr>
            <w:top w:val="none" w:sz="0" w:space="0" w:color="auto"/>
            <w:left w:val="none" w:sz="0" w:space="0" w:color="auto"/>
            <w:bottom w:val="none" w:sz="0" w:space="0" w:color="auto"/>
            <w:right w:val="none" w:sz="0" w:space="0" w:color="auto"/>
          </w:divBdr>
        </w:div>
        <w:div w:id="1832141031">
          <w:marLeft w:val="0"/>
          <w:marRight w:val="0"/>
          <w:marTop w:val="0"/>
          <w:marBottom w:val="0"/>
          <w:divBdr>
            <w:top w:val="none" w:sz="0" w:space="0" w:color="auto"/>
            <w:left w:val="none" w:sz="0" w:space="0" w:color="auto"/>
            <w:bottom w:val="none" w:sz="0" w:space="0" w:color="auto"/>
            <w:right w:val="none" w:sz="0" w:space="0" w:color="auto"/>
          </w:divBdr>
        </w:div>
        <w:div w:id="1838574610">
          <w:marLeft w:val="0"/>
          <w:marRight w:val="0"/>
          <w:marTop w:val="0"/>
          <w:marBottom w:val="0"/>
          <w:divBdr>
            <w:top w:val="none" w:sz="0" w:space="0" w:color="auto"/>
            <w:left w:val="none" w:sz="0" w:space="0" w:color="auto"/>
            <w:bottom w:val="none" w:sz="0" w:space="0" w:color="auto"/>
            <w:right w:val="none" w:sz="0" w:space="0" w:color="auto"/>
          </w:divBdr>
        </w:div>
        <w:div w:id="1905220952">
          <w:marLeft w:val="0"/>
          <w:marRight w:val="0"/>
          <w:marTop w:val="0"/>
          <w:marBottom w:val="0"/>
          <w:divBdr>
            <w:top w:val="none" w:sz="0" w:space="0" w:color="auto"/>
            <w:left w:val="none" w:sz="0" w:space="0" w:color="auto"/>
            <w:bottom w:val="none" w:sz="0" w:space="0" w:color="auto"/>
            <w:right w:val="none" w:sz="0" w:space="0" w:color="auto"/>
          </w:divBdr>
        </w:div>
        <w:div w:id="2017031529">
          <w:marLeft w:val="0"/>
          <w:marRight w:val="0"/>
          <w:marTop w:val="0"/>
          <w:marBottom w:val="0"/>
          <w:divBdr>
            <w:top w:val="none" w:sz="0" w:space="0" w:color="auto"/>
            <w:left w:val="none" w:sz="0" w:space="0" w:color="auto"/>
            <w:bottom w:val="none" w:sz="0" w:space="0" w:color="auto"/>
            <w:right w:val="none" w:sz="0" w:space="0" w:color="auto"/>
          </w:divBdr>
        </w:div>
      </w:divsChild>
    </w:div>
    <w:div w:id="1528713918">
      <w:marLeft w:val="0"/>
      <w:marRight w:val="0"/>
      <w:marTop w:val="0"/>
      <w:marBottom w:val="0"/>
      <w:divBdr>
        <w:top w:val="none" w:sz="0" w:space="0" w:color="auto"/>
        <w:left w:val="none" w:sz="0" w:space="0" w:color="auto"/>
        <w:bottom w:val="none" w:sz="0" w:space="0" w:color="auto"/>
        <w:right w:val="none" w:sz="0" w:space="0" w:color="auto"/>
      </w:divBdr>
      <w:divsChild>
        <w:div w:id="2077823930">
          <w:marLeft w:val="0"/>
          <w:marRight w:val="0"/>
          <w:marTop w:val="0"/>
          <w:marBottom w:val="0"/>
          <w:divBdr>
            <w:top w:val="none" w:sz="0" w:space="0" w:color="auto"/>
            <w:left w:val="none" w:sz="0" w:space="0" w:color="auto"/>
            <w:bottom w:val="none" w:sz="0" w:space="0" w:color="auto"/>
            <w:right w:val="none" w:sz="0" w:space="0" w:color="auto"/>
          </w:divBdr>
        </w:div>
      </w:divsChild>
    </w:div>
    <w:div w:id="1549293454">
      <w:marLeft w:val="0"/>
      <w:marRight w:val="0"/>
      <w:marTop w:val="0"/>
      <w:marBottom w:val="0"/>
      <w:divBdr>
        <w:top w:val="none" w:sz="0" w:space="0" w:color="auto"/>
        <w:left w:val="none" w:sz="0" w:space="0" w:color="auto"/>
        <w:bottom w:val="none" w:sz="0" w:space="0" w:color="auto"/>
        <w:right w:val="none" w:sz="0" w:space="0" w:color="auto"/>
      </w:divBdr>
      <w:divsChild>
        <w:div w:id="1493254384">
          <w:marLeft w:val="0"/>
          <w:marRight w:val="0"/>
          <w:marTop w:val="0"/>
          <w:marBottom w:val="0"/>
          <w:divBdr>
            <w:top w:val="none" w:sz="0" w:space="0" w:color="auto"/>
            <w:left w:val="none" w:sz="0" w:space="0" w:color="auto"/>
            <w:bottom w:val="none" w:sz="0" w:space="0" w:color="auto"/>
            <w:right w:val="none" w:sz="0" w:space="0" w:color="auto"/>
          </w:divBdr>
        </w:div>
      </w:divsChild>
    </w:div>
    <w:div w:id="1563327924">
      <w:marLeft w:val="0"/>
      <w:marRight w:val="0"/>
      <w:marTop w:val="0"/>
      <w:marBottom w:val="0"/>
      <w:divBdr>
        <w:top w:val="none" w:sz="0" w:space="0" w:color="auto"/>
        <w:left w:val="none" w:sz="0" w:space="0" w:color="auto"/>
        <w:bottom w:val="none" w:sz="0" w:space="0" w:color="auto"/>
        <w:right w:val="none" w:sz="0" w:space="0" w:color="auto"/>
      </w:divBdr>
      <w:divsChild>
        <w:div w:id="802237058">
          <w:marLeft w:val="0"/>
          <w:marRight w:val="0"/>
          <w:marTop w:val="0"/>
          <w:marBottom w:val="0"/>
          <w:divBdr>
            <w:top w:val="none" w:sz="0" w:space="0" w:color="auto"/>
            <w:left w:val="none" w:sz="0" w:space="0" w:color="auto"/>
            <w:bottom w:val="none" w:sz="0" w:space="0" w:color="auto"/>
            <w:right w:val="none" w:sz="0" w:space="0" w:color="auto"/>
          </w:divBdr>
        </w:div>
      </w:divsChild>
    </w:div>
    <w:div w:id="1584098770">
      <w:bodyDiv w:val="1"/>
      <w:marLeft w:val="0"/>
      <w:marRight w:val="0"/>
      <w:marTop w:val="0"/>
      <w:marBottom w:val="0"/>
      <w:divBdr>
        <w:top w:val="none" w:sz="0" w:space="0" w:color="auto"/>
        <w:left w:val="none" w:sz="0" w:space="0" w:color="auto"/>
        <w:bottom w:val="none" w:sz="0" w:space="0" w:color="auto"/>
        <w:right w:val="none" w:sz="0" w:space="0" w:color="auto"/>
      </w:divBdr>
      <w:divsChild>
        <w:div w:id="979653648">
          <w:marLeft w:val="0"/>
          <w:marRight w:val="0"/>
          <w:marTop w:val="0"/>
          <w:marBottom w:val="0"/>
          <w:divBdr>
            <w:top w:val="none" w:sz="0" w:space="0" w:color="auto"/>
            <w:left w:val="none" w:sz="0" w:space="0" w:color="auto"/>
            <w:bottom w:val="none" w:sz="0" w:space="0" w:color="auto"/>
            <w:right w:val="none" w:sz="0" w:space="0" w:color="auto"/>
          </w:divBdr>
        </w:div>
        <w:div w:id="448089000">
          <w:marLeft w:val="0"/>
          <w:marRight w:val="0"/>
          <w:marTop w:val="0"/>
          <w:marBottom w:val="0"/>
          <w:divBdr>
            <w:top w:val="none" w:sz="0" w:space="0" w:color="auto"/>
            <w:left w:val="none" w:sz="0" w:space="0" w:color="auto"/>
            <w:bottom w:val="none" w:sz="0" w:space="0" w:color="auto"/>
            <w:right w:val="none" w:sz="0" w:space="0" w:color="auto"/>
          </w:divBdr>
        </w:div>
        <w:div w:id="2079009489">
          <w:marLeft w:val="0"/>
          <w:marRight w:val="0"/>
          <w:marTop w:val="0"/>
          <w:marBottom w:val="0"/>
          <w:divBdr>
            <w:top w:val="none" w:sz="0" w:space="0" w:color="auto"/>
            <w:left w:val="none" w:sz="0" w:space="0" w:color="auto"/>
            <w:bottom w:val="none" w:sz="0" w:space="0" w:color="auto"/>
            <w:right w:val="none" w:sz="0" w:space="0" w:color="auto"/>
          </w:divBdr>
        </w:div>
        <w:div w:id="559749682">
          <w:marLeft w:val="0"/>
          <w:marRight w:val="0"/>
          <w:marTop w:val="0"/>
          <w:marBottom w:val="0"/>
          <w:divBdr>
            <w:top w:val="none" w:sz="0" w:space="0" w:color="auto"/>
            <w:left w:val="none" w:sz="0" w:space="0" w:color="auto"/>
            <w:bottom w:val="none" w:sz="0" w:space="0" w:color="auto"/>
            <w:right w:val="none" w:sz="0" w:space="0" w:color="auto"/>
          </w:divBdr>
        </w:div>
        <w:div w:id="1936940113">
          <w:marLeft w:val="0"/>
          <w:marRight w:val="0"/>
          <w:marTop w:val="0"/>
          <w:marBottom w:val="0"/>
          <w:divBdr>
            <w:top w:val="none" w:sz="0" w:space="0" w:color="auto"/>
            <w:left w:val="none" w:sz="0" w:space="0" w:color="auto"/>
            <w:bottom w:val="none" w:sz="0" w:space="0" w:color="auto"/>
            <w:right w:val="none" w:sz="0" w:space="0" w:color="auto"/>
          </w:divBdr>
        </w:div>
        <w:div w:id="717124104">
          <w:marLeft w:val="0"/>
          <w:marRight w:val="0"/>
          <w:marTop w:val="0"/>
          <w:marBottom w:val="0"/>
          <w:divBdr>
            <w:top w:val="none" w:sz="0" w:space="0" w:color="auto"/>
            <w:left w:val="none" w:sz="0" w:space="0" w:color="auto"/>
            <w:bottom w:val="none" w:sz="0" w:space="0" w:color="auto"/>
            <w:right w:val="none" w:sz="0" w:space="0" w:color="auto"/>
          </w:divBdr>
        </w:div>
        <w:div w:id="930628594">
          <w:marLeft w:val="0"/>
          <w:marRight w:val="0"/>
          <w:marTop w:val="0"/>
          <w:marBottom w:val="0"/>
          <w:divBdr>
            <w:top w:val="none" w:sz="0" w:space="0" w:color="auto"/>
            <w:left w:val="none" w:sz="0" w:space="0" w:color="auto"/>
            <w:bottom w:val="none" w:sz="0" w:space="0" w:color="auto"/>
            <w:right w:val="none" w:sz="0" w:space="0" w:color="auto"/>
          </w:divBdr>
        </w:div>
        <w:div w:id="808547660">
          <w:marLeft w:val="0"/>
          <w:marRight w:val="0"/>
          <w:marTop w:val="0"/>
          <w:marBottom w:val="0"/>
          <w:divBdr>
            <w:top w:val="none" w:sz="0" w:space="0" w:color="auto"/>
            <w:left w:val="none" w:sz="0" w:space="0" w:color="auto"/>
            <w:bottom w:val="none" w:sz="0" w:space="0" w:color="auto"/>
            <w:right w:val="none" w:sz="0" w:space="0" w:color="auto"/>
          </w:divBdr>
        </w:div>
        <w:div w:id="431315705">
          <w:marLeft w:val="0"/>
          <w:marRight w:val="0"/>
          <w:marTop w:val="0"/>
          <w:marBottom w:val="0"/>
          <w:divBdr>
            <w:top w:val="none" w:sz="0" w:space="0" w:color="auto"/>
            <w:left w:val="none" w:sz="0" w:space="0" w:color="auto"/>
            <w:bottom w:val="none" w:sz="0" w:space="0" w:color="auto"/>
            <w:right w:val="none" w:sz="0" w:space="0" w:color="auto"/>
          </w:divBdr>
        </w:div>
        <w:div w:id="365837072">
          <w:marLeft w:val="0"/>
          <w:marRight w:val="0"/>
          <w:marTop w:val="0"/>
          <w:marBottom w:val="0"/>
          <w:divBdr>
            <w:top w:val="none" w:sz="0" w:space="0" w:color="auto"/>
            <w:left w:val="none" w:sz="0" w:space="0" w:color="auto"/>
            <w:bottom w:val="none" w:sz="0" w:space="0" w:color="auto"/>
            <w:right w:val="none" w:sz="0" w:space="0" w:color="auto"/>
          </w:divBdr>
        </w:div>
        <w:div w:id="1823423506">
          <w:marLeft w:val="0"/>
          <w:marRight w:val="0"/>
          <w:marTop w:val="0"/>
          <w:marBottom w:val="0"/>
          <w:divBdr>
            <w:top w:val="none" w:sz="0" w:space="0" w:color="auto"/>
            <w:left w:val="none" w:sz="0" w:space="0" w:color="auto"/>
            <w:bottom w:val="none" w:sz="0" w:space="0" w:color="auto"/>
            <w:right w:val="none" w:sz="0" w:space="0" w:color="auto"/>
          </w:divBdr>
          <w:divsChild>
            <w:div w:id="1899702801">
              <w:marLeft w:val="-75"/>
              <w:marRight w:val="0"/>
              <w:marTop w:val="30"/>
              <w:marBottom w:val="30"/>
              <w:divBdr>
                <w:top w:val="none" w:sz="0" w:space="0" w:color="auto"/>
                <w:left w:val="none" w:sz="0" w:space="0" w:color="auto"/>
                <w:bottom w:val="none" w:sz="0" w:space="0" w:color="auto"/>
                <w:right w:val="none" w:sz="0" w:space="0" w:color="auto"/>
              </w:divBdr>
              <w:divsChild>
                <w:div w:id="427165809">
                  <w:marLeft w:val="0"/>
                  <w:marRight w:val="0"/>
                  <w:marTop w:val="0"/>
                  <w:marBottom w:val="0"/>
                  <w:divBdr>
                    <w:top w:val="none" w:sz="0" w:space="0" w:color="auto"/>
                    <w:left w:val="none" w:sz="0" w:space="0" w:color="auto"/>
                    <w:bottom w:val="none" w:sz="0" w:space="0" w:color="auto"/>
                    <w:right w:val="none" w:sz="0" w:space="0" w:color="auto"/>
                  </w:divBdr>
                  <w:divsChild>
                    <w:div w:id="1846506448">
                      <w:marLeft w:val="0"/>
                      <w:marRight w:val="0"/>
                      <w:marTop w:val="0"/>
                      <w:marBottom w:val="0"/>
                      <w:divBdr>
                        <w:top w:val="none" w:sz="0" w:space="0" w:color="auto"/>
                        <w:left w:val="none" w:sz="0" w:space="0" w:color="auto"/>
                        <w:bottom w:val="none" w:sz="0" w:space="0" w:color="auto"/>
                        <w:right w:val="none" w:sz="0" w:space="0" w:color="auto"/>
                      </w:divBdr>
                    </w:div>
                  </w:divsChild>
                </w:div>
                <w:div w:id="1893031273">
                  <w:marLeft w:val="0"/>
                  <w:marRight w:val="0"/>
                  <w:marTop w:val="0"/>
                  <w:marBottom w:val="0"/>
                  <w:divBdr>
                    <w:top w:val="none" w:sz="0" w:space="0" w:color="auto"/>
                    <w:left w:val="none" w:sz="0" w:space="0" w:color="auto"/>
                    <w:bottom w:val="none" w:sz="0" w:space="0" w:color="auto"/>
                    <w:right w:val="none" w:sz="0" w:space="0" w:color="auto"/>
                  </w:divBdr>
                  <w:divsChild>
                    <w:div w:id="1464544359">
                      <w:marLeft w:val="0"/>
                      <w:marRight w:val="0"/>
                      <w:marTop w:val="0"/>
                      <w:marBottom w:val="0"/>
                      <w:divBdr>
                        <w:top w:val="none" w:sz="0" w:space="0" w:color="auto"/>
                        <w:left w:val="none" w:sz="0" w:space="0" w:color="auto"/>
                        <w:bottom w:val="none" w:sz="0" w:space="0" w:color="auto"/>
                        <w:right w:val="none" w:sz="0" w:space="0" w:color="auto"/>
                      </w:divBdr>
                    </w:div>
                    <w:div w:id="220796208">
                      <w:marLeft w:val="0"/>
                      <w:marRight w:val="0"/>
                      <w:marTop w:val="0"/>
                      <w:marBottom w:val="0"/>
                      <w:divBdr>
                        <w:top w:val="none" w:sz="0" w:space="0" w:color="auto"/>
                        <w:left w:val="none" w:sz="0" w:space="0" w:color="auto"/>
                        <w:bottom w:val="none" w:sz="0" w:space="0" w:color="auto"/>
                        <w:right w:val="none" w:sz="0" w:space="0" w:color="auto"/>
                      </w:divBdr>
                    </w:div>
                  </w:divsChild>
                </w:div>
                <w:div w:id="343871846">
                  <w:marLeft w:val="0"/>
                  <w:marRight w:val="0"/>
                  <w:marTop w:val="0"/>
                  <w:marBottom w:val="0"/>
                  <w:divBdr>
                    <w:top w:val="none" w:sz="0" w:space="0" w:color="auto"/>
                    <w:left w:val="none" w:sz="0" w:space="0" w:color="auto"/>
                    <w:bottom w:val="none" w:sz="0" w:space="0" w:color="auto"/>
                    <w:right w:val="none" w:sz="0" w:space="0" w:color="auto"/>
                  </w:divBdr>
                  <w:divsChild>
                    <w:div w:id="882524794">
                      <w:marLeft w:val="0"/>
                      <w:marRight w:val="0"/>
                      <w:marTop w:val="0"/>
                      <w:marBottom w:val="0"/>
                      <w:divBdr>
                        <w:top w:val="none" w:sz="0" w:space="0" w:color="auto"/>
                        <w:left w:val="none" w:sz="0" w:space="0" w:color="auto"/>
                        <w:bottom w:val="none" w:sz="0" w:space="0" w:color="auto"/>
                        <w:right w:val="none" w:sz="0" w:space="0" w:color="auto"/>
                      </w:divBdr>
                    </w:div>
                    <w:div w:id="1326515881">
                      <w:marLeft w:val="0"/>
                      <w:marRight w:val="0"/>
                      <w:marTop w:val="0"/>
                      <w:marBottom w:val="0"/>
                      <w:divBdr>
                        <w:top w:val="none" w:sz="0" w:space="0" w:color="auto"/>
                        <w:left w:val="none" w:sz="0" w:space="0" w:color="auto"/>
                        <w:bottom w:val="none" w:sz="0" w:space="0" w:color="auto"/>
                        <w:right w:val="none" w:sz="0" w:space="0" w:color="auto"/>
                      </w:divBdr>
                    </w:div>
                    <w:div w:id="289677518">
                      <w:marLeft w:val="0"/>
                      <w:marRight w:val="0"/>
                      <w:marTop w:val="0"/>
                      <w:marBottom w:val="0"/>
                      <w:divBdr>
                        <w:top w:val="none" w:sz="0" w:space="0" w:color="auto"/>
                        <w:left w:val="none" w:sz="0" w:space="0" w:color="auto"/>
                        <w:bottom w:val="none" w:sz="0" w:space="0" w:color="auto"/>
                        <w:right w:val="none" w:sz="0" w:space="0" w:color="auto"/>
                      </w:divBdr>
                    </w:div>
                  </w:divsChild>
                </w:div>
                <w:div w:id="673000118">
                  <w:marLeft w:val="0"/>
                  <w:marRight w:val="0"/>
                  <w:marTop w:val="0"/>
                  <w:marBottom w:val="0"/>
                  <w:divBdr>
                    <w:top w:val="none" w:sz="0" w:space="0" w:color="auto"/>
                    <w:left w:val="none" w:sz="0" w:space="0" w:color="auto"/>
                    <w:bottom w:val="none" w:sz="0" w:space="0" w:color="auto"/>
                    <w:right w:val="none" w:sz="0" w:space="0" w:color="auto"/>
                  </w:divBdr>
                  <w:divsChild>
                    <w:div w:id="21370339">
                      <w:marLeft w:val="0"/>
                      <w:marRight w:val="0"/>
                      <w:marTop w:val="0"/>
                      <w:marBottom w:val="0"/>
                      <w:divBdr>
                        <w:top w:val="none" w:sz="0" w:space="0" w:color="auto"/>
                        <w:left w:val="none" w:sz="0" w:space="0" w:color="auto"/>
                        <w:bottom w:val="none" w:sz="0" w:space="0" w:color="auto"/>
                        <w:right w:val="none" w:sz="0" w:space="0" w:color="auto"/>
                      </w:divBdr>
                    </w:div>
                  </w:divsChild>
                </w:div>
                <w:div w:id="1085567597">
                  <w:marLeft w:val="0"/>
                  <w:marRight w:val="0"/>
                  <w:marTop w:val="0"/>
                  <w:marBottom w:val="0"/>
                  <w:divBdr>
                    <w:top w:val="none" w:sz="0" w:space="0" w:color="auto"/>
                    <w:left w:val="none" w:sz="0" w:space="0" w:color="auto"/>
                    <w:bottom w:val="none" w:sz="0" w:space="0" w:color="auto"/>
                    <w:right w:val="none" w:sz="0" w:space="0" w:color="auto"/>
                  </w:divBdr>
                  <w:divsChild>
                    <w:div w:id="802580722">
                      <w:marLeft w:val="0"/>
                      <w:marRight w:val="0"/>
                      <w:marTop w:val="0"/>
                      <w:marBottom w:val="0"/>
                      <w:divBdr>
                        <w:top w:val="none" w:sz="0" w:space="0" w:color="auto"/>
                        <w:left w:val="none" w:sz="0" w:space="0" w:color="auto"/>
                        <w:bottom w:val="none" w:sz="0" w:space="0" w:color="auto"/>
                        <w:right w:val="none" w:sz="0" w:space="0" w:color="auto"/>
                      </w:divBdr>
                    </w:div>
                  </w:divsChild>
                </w:div>
                <w:div w:id="203373166">
                  <w:marLeft w:val="0"/>
                  <w:marRight w:val="0"/>
                  <w:marTop w:val="0"/>
                  <w:marBottom w:val="0"/>
                  <w:divBdr>
                    <w:top w:val="none" w:sz="0" w:space="0" w:color="auto"/>
                    <w:left w:val="none" w:sz="0" w:space="0" w:color="auto"/>
                    <w:bottom w:val="none" w:sz="0" w:space="0" w:color="auto"/>
                    <w:right w:val="none" w:sz="0" w:space="0" w:color="auto"/>
                  </w:divBdr>
                  <w:divsChild>
                    <w:div w:id="1677414142">
                      <w:marLeft w:val="0"/>
                      <w:marRight w:val="0"/>
                      <w:marTop w:val="0"/>
                      <w:marBottom w:val="0"/>
                      <w:divBdr>
                        <w:top w:val="none" w:sz="0" w:space="0" w:color="auto"/>
                        <w:left w:val="none" w:sz="0" w:space="0" w:color="auto"/>
                        <w:bottom w:val="none" w:sz="0" w:space="0" w:color="auto"/>
                        <w:right w:val="none" w:sz="0" w:space="0" w:color="auto"/>
                      </w:divBdr>
                    </w:div>
                  </w:divsChild>
                </w:div>
                <w:div w:id="993026037">
                  <w:marLeft w:val="0"/>
                  <w:marRight w:val="0"/>
                  <w:marTop w:val="0"/>
                  <w:marBottom w:val="0"/>
                  <w:divBdr>
                    <w:top w:val="none" w:sz="0" w:space="0" w:color="auto"/>
                    <w:left w:val="none" w:sz="0" w:space="0" w:color="auto"/>
                    <w:bottom w:val="none" w:sz="0" w:space="0" w:color="auto"/>
                    <w:right w:val="none" w:sz="0" w:space="0" w:color="auto"/>
                  </w:divBdr>
                  <w:divsChild>
                    <w:div w:id="837229221">
                      <w:marLeft w:val="0"/>
                      <w:marRight w:val="0"/>
                      <w:marTop w:val="0"/>
                      <w:marBottom w:val="0"/>
                      <w:divBdr>
                        <w:top w:val="none" w:sz="0" w:space="0" w:color="auto"/>
                        <w:left w:val="none" w:sz="0" w:space="0" w:color="auto"/>
                        <w:bottom w:val="none" w:sz="0" w:space="0" w:color="auto"/>
                        <w:right w:val="none" w:sz="0" w:space="0" w:color="auto"/>
                      </w:divBdr>
                    </w:div>
                  </w:divsChild>
                </w:div>
                <w:div w:id="1857033147">
                  <w:marLeft w:val="0"/>
                  <w:marRight w:val="0"/>
                  <w:marTop w:val="0"/>
                  <w:marBottom w:val="0"/>
                  <w:divBdr>
                    <w:top w:val="none" w:sz="0" w:space="0" w:color="auto"/>
                    <w:left w:val="none" w:sz="0" w:space="0" w:color="auto"/>
                    <w:bottom w:val="none" w:sz="0" w:space="0" w:color="auto"/>
                    <w:right w:val="none" w:sz="0" w:space="0" w:color="auto"/>
                  </w:divBdr>
                  <w:divsChild>
                    <w:div w:id="1462336650">
                      <w:marLeft w:val="0"/>
                      <w:marRight w:val="0"/>
                      <w:marTop w:val="0"/>
                      <w:marBottom w:val="0"/>
                      <w:divBdr>
                        <w:top w:val="none" w:sz="0" w:space="0" w:color="auto"/>
                        <w:left w:val="none" w:sz="0" w:space="0" w:color="auto"/>
                        <w:bottom w:val="none" w:sz="0" w:space="0" w:color="auto"/>
                        <w:right w:val="none" w:sz="0" w:space="0" w:color="auto"/>
                      </w:divBdr>
                    </w:div>
                  </w:divsChild>
                </w:div>
                <w:div w:id="1173686543">
                  <w:marLeft w:val="0"/>
                  <w:marRight w:val="0"/>
                  <w:marTop w:val="0"/>
                  <w:marBottom w:val="0"/>
                  <w:divBdr>
                    <w:top w:val="none" w:sz="0" w:space="0" w:color="auto"/>
                    <w:left w:val="none" w:sz="0" w:space="0" w:color="auto"/>
                    <w:bottom w:val="none" w:sz="0" w:space="0" w:color="auto"/>
                    <w:right w:val="none" w:sz="0" w:space="0" w:color="auto"/>
                  </w:divBdr>
                  <w:divsChild>
                    <w:div w:id="2057391922">
                      <w:marLeft w:val="0"/>
                      <w:marRight w:val="0"/>
                      <w:marTop w:val="0"/>
                      <w:marBottom w:val="0"/>
                      <w:divBdr>
                        <w:top w:val="none" w:sz="0" w:space="0" w:color="auto"/>
                        <w:left w:val="none" w:sz="0" w:space="0" w:color="auto"/>
                        <w:bottom w:val="none" w:sz="0" w:space="0" w:color="auto"/>
                        <w:right w:val="none" w:sz="0" w:space="0" w:color="auto"/>
                      </w:divBdr>
                    </w:div>
                  </w:divsChild>
                </w:div>
                <w:div w:id="1432319351">
                  <w:marLeft w:val="0"/>
                  <w:marRight w:val="0"/>
                  <w:marTop w:val="0"/>
                  <w:marBottom w:val="0"/>
                  <w:divBdr>
                    <w:top w:val="none" w:sz="0" w:space="0" w:color="auto"/>
                    <w:left w:val="none" w:sz="0" w:space="0" w:color="auto"/>
                    <w:bottom w:val="none" w:sz="0" w:space="0" w:color="auto"/>
                    <w:right w:val="none" w:sz="0" w:space="0" w:color="auto"/>
                  </w:divBdr>
                  <w:divsChild>
                    <w:div w:id="172959302">
                      <w:marLeft w:val="0"/>
                      <w:marRight w:val="0"/>
                      <w:marTop w:val="0"/>
                      <w:marBottom w:val="0"/>
                      <w:divBdr>
                        <w:top w:val="none" w:sz="0" w:space="0" w:color="auto"/>
                        <w:left w:val="none" w:sz="0" w:space="0" w:color="auto"/>
                        <w:bottom w:val="none" w:sz="0" w:space="0" w:color="auto"/>
                        <w:right w:val="none" w:sz="0" w:space="0" w:color="auto"/>
                      </w:divBdr>
                    </w:div>
                  </w:divsChild>
                </w:div>
                <w:div w:id="1024743828">
                  <w:marLeft w:val="0"/>
                  <w:marRight w:val="0"/>
                  <w:marTop w:val="0"/>
                  <w:marBottom w:val="0"/>
                  <w:divBdr>
                    <w:top w:val="none" w:sz="0" w:space="0" w:color="auto"/>
                    <w:left w:val="none" w:sz="0" w:space="0" w:color="auto"/>
                    <w:bottom w:val="none" w:sz="0" w:space="0" w:color="auto"/>
                    <w:right w:val="none" w:sz="0" w:space="0" w:color="auto"/>
                  </w:divBdr>
                  <w:divsChild>
                    <w:div w:id="224268247">
                      <w:marLeft w:val="0"/>
                      <w:marRight w:val="0"/>
                      <w:marTop w:val="0"/>
                      <w:marBottom w:val="0"/>
                      <w:divBdr>
                        <w:top w:val="none" w:sz="0" w:space="0" w:color="auto"/>
                        <w:left w:val="none" w:sz="0" w:space="0" w:color="auto"/>
                        <w:bottom w:val="none" w:sz="0" w:space="0" w:color="auto"/>
                        <w:right w:val="none" w:sz="0" w:space="0" w:color="auto"/>
                      </w:divBdr>
                    </w:div>
                  </w:divsChild>
                </w:div>
                <w:div w:id="807431046">
                  <w:marLeft w:val="0"/>
                  <w:marRight w:val="0"/>
                  <w:marTop w:val="0"/>
                  <w:marBottom w:val="0"/>
                  <w:divBdr>
                    <w:top w:val="none" w:sz="0" w:space="0" w:color="auto"/>
                    <w:left w:val="none" w:sz="0" w:space="0" w:color="auto"/>
                    <w:bottom w:val="none" w:sz="0" w:space="0" w:color="auto"/>
                    <w:right w:val="none" w:sz="0" w:space="0" w:color="auto"/>
                  </w:divBdr>
                  <w:divsChild>
                    <w:div w:id="950283111">
                      <w:marLeft w:val="0"/>
                      <w:marRight w:val="0"/>
                      <w:marTop w:val="0"/>
                      <w:marBottom w:val="0"/>
                      <w:divBdr>
                        <w:top w:val="none" w:sz="0" w:space="0" w:color="auto"/>
                        <w:left w:val="none" w:sz="0" w:space="0" w:color="auto"/>
                        <w:bottom w:val="none" w:sz="0" w:space="0" w:color="auto"/>
                        <w:right w:val="none" w:sz="0" w:space="0" w:color="auto"/>
                      </w:divBdr>
                    </w:div>
                  </w:divsChild>
                </w:div>
                <w:div w:id="308872147">
                  <w:marLeft w:val="0"/>
                  <w:marRight w:val="0"/>
                  <w:marTop w:val="0"/>
                  <w:marBottom w:val="0"/>
                  <w:divBdr>
                    <w:top w:val="none" w:sz="0" w:space="0" w:color="auto"/>
                    <w:left w:val="none" w:sz="0" w:space="0" w:color="auto"/>
                    <w:bottom w:val="none" w:sz="0" w:space="0" w:color="auto"/>
                    <w:right w:val="none" w:sz="0" w:space="0" w:color="auto"/>
                  </w:divBdr>
                  <w:divsChild>
                    <w:div w:id="217475513">
                      <w:marLeft w:val="0"/>
                      <w:marRight w:val="0"/>
                      <w:marTop w:val="0"/>
                      <w:marBottom w:val="0"/>
                      <w:divBdr>
                        <w:top w:val="none" w:sz="0" w:space="0" w:color="auto"/>
                        <w:left w:val="none" w:sz="0" w:space="0" w:color="auto"/>
                        <w:bottom w:val="none" w:sz="0" w:space="0" w:color="auto"/>
                        <w:right w:val="none" w:sz="0" w:space="0" w:color="auto"/>
                      </w:divBdr>
                    </w:div>
                  </w:divsChild>
                </w:div>
                <w:div w:id="420445954">
                  <w:marLeft w:val="0"/>
                  <w:marRight w:val="0"/>
                  <w:marTop w:val="0"/>
                  <w:marBottom w:val="0"/>
                  <w:divBdr>
                    <w:top w:val="none" w:sz="0" w:space="0" w:color="auto"/>
                    <w:left w:val="none" w:sz="0" w:space="0" w:color="auto"/>
                    <w:bottom w:val="none" w:sz="0" w:space="0" w:color="auto"/>
                    <w:right w:val="none" w:sz="0" w:space="0" w:color="auto"/>
                  </w:divBdr>
                  <w:divsChild>
                    <w:div w:id="1351375982">
                      <w:marLeft w:val="0"/>
                      <w:marRight w:val="0"/>
                      <w:marTop w:val="0"/>
                      <w:marBottom w:val="0"/>
                      <w:divBdr>
                        <w:top w:val="none" w:sz="0" w:space="0" w:color="auto"/>
                        <w:left w:val="none" w:sz="0" w:space="0" w:color="auto"/>
                        <w:bottom w:val="none" w:sz="0" w:space="0" w:color="auto"/>
                        <w:right w:val="none" w:sz="0" w:space="0" w:color="auto"/>
                      </w:divBdr>
                    </w:div>
                  </w:divsChild>
                </w:div>
                <w:div w:id="190802603">
                  <w:marLeft w:val="0"/>
                  <w:marRight w:val="0"/>
                  <w:marTop w:val="0"/>
                  <w:marBottom w:val="0"/>
                  <w:divBdr>
                    <w:top w:val="none" w:sz="0" w:space="0" w:color="auto"/>
                    <w:left w:val="none" w:sz="0" w:space="0" w:color="auto"/>
                    <w:bottom w:val="none" w:sz="0" w:space="0" w:color="auto"/>
                    <w:right w:val="none" w:sz="0" w:space="0" w:color="auto"/>
                  </w:divBdr>
                  <w:divsChild>
                    <w:div w:id="517084795">
                      <w:marLeft w:val="0"/>
                      <w:marRight w:val="0"/>
                      <w:marTop w:val="0"/>
                      <w:marBottom w:val="0"/>
                      <w:divBdr>
                        <w:top w:val="none" w:sz="0" w:space="0" w:color="auto"/>
                        <w:left w:val="none" w:sz="0" w:space="0" w:color="auto"/>
                        <w:bottom w:val="none" w:sz="0" w:space="0" w:color="auto"/>
                        <w:right w:val="none" w:sz="0" w:space="0" w:color="auto"/>
                      </w:divBdr>
                    </w:div>
                  </w:divsChild>
                </w:div>
                <w:div w:id="1112238954">
                  <w:marLeft w:val="0"/>
                  <w:marRight w:val="0"/>
                  <w:marTop w:val="0"/>
                  <w:marBottom w:val="0"/>
                  <w:divBdr>
                    <w:top w:val="none" w:sz="0" w:space="0" w:color="auto"/>
                    <w:left w:val="none" w:sz="0" w:space="0" w:color="auto"/>
                    <w:bottom w:val="none" w:sz="0" w:space="0" w:color="auto"/>
                    <w:right w:val="none" w:sz="0" w:space="0" w:color="auto"/>
                  </w:divBdr>
                  <w:divsChild>
                    <w:div w:id="1304041195">
                      <w:marLeft w:val="0"/>
                      <w:marRight w:val="0"/>
                      <w:marTop w:val="0"/>
                      <w:marBottom w:val="0"/>
                      <w:divBdr>
                        <w:top w:val="none" w:sz="0" w:space="0" w:color="auto"/>
                        <w:left w:val="none" w:sz="0" w:space="0" w:color="auto"/>
                        <w:bottom w:val="none" w:sz="0" w:space="0" w:color="auto"/>
                        <w:right w:val="none" w:sz="0" w:space="0" w:color="auto"/>
                      </w:divBdr>
                    </w:div>
                  </w:divsChild>
                </w:div>
                <w:div w:id="2073456872">
                  <w:marLeft w:val="0"/>
                  <w:marRight w:val="0"/>
                  <w:marTop w:val="0"/>
                  <w:marBottom w:val="0"/>
                  <w:divBdr>
                    <w:top w:val="none" w:sz="0" w:space="0" w:color="auto"/>
                    <w:left w:val="none" w:sz="0" w:space="0" w:color="auto"/>
                    <w:bottom w:val="none" w:sz="0" w:space="0" w:color="auto"/>
                    <w:right w:val="none" w:sz="0" w:space="0" w:color="auto"/>
                  </w:divBdr>
                  <w:divsChild>
                    <w:div w:id="1895702560">
                      <w:marLeft w:val="0"/>
                      <w:marRight w:val="0"/>
                      <w:marTop w:val="0"/>
                      <w:marBottom w:val="0"/>
                      <w:divBdr>
                        <w:top w:val="none" w:sz="0" w:space="0" w:color="auto"/>
                        <w:left w:val="none" w:sz="0" w:space="0" w:color="auto"/>
                        <w:bottom w:val="none" w:sz="0" w:space="0" w:color="auto"/>
                        <w:right w:val="none" w:sz="0" w:space="0" w:color="auto"/>
                      </w:divBdr>
                    </w:div>
                  </w:divsChild>
                </w:div>
                <w:div w:id="1715543811">
                  <w:marLeft w:val="0"/>
                  <w:marRight w:val="0"/>
                  <w:marTop w:val="0"/>
                  <w:marBottom w:val="0"/>
                  <w:divBdr>
                    <w:top w:val="none" w:sz="0" w:space="0" w:color="auto"/>
                    <w:left w:val="none" w:sz="0" w:space="0" w:color="auto"/>
                    <w:bottom w:val="none" w:sz="0" w:space="0" w:color="auto"/>
                    <w:right w:val="none" w:sz="0" w:space="0" w:color="auto"/>
                  </w:divBdr>
                  <w:divsChild>
                    <w:div w:id="397283902">
                      <w:marLeft w:val="0"/>
                      <w:marRight w:val="0"/>
                      <w:marTop w:val="0"/>
                      <w:marBottom w:val="0"/>
                      <w:divBdr>
                        <w:top w:val="none" w:sz="0" w:space="0" w:color="auto"/>
                        <w:left w:val="none" w:sz="0" w:space="0" w:color="auto"/>
                        <w:bottom w:val="none" w:sz="0" w:space="0" w:color="auto"/>
                        <w:right w:val="none" w:sz="0" w:space="0" w:color="auto"/>
                      </w:divBdr>
                    </w:div>
                  </w:divsChild>
                </w:div>
                <w:div w:id="51657488">
                  <w:marLeft w:val="0"/>
                  <w:marRight w:val="0"/>
                  <w:marTop w:val="0"/>
                  <w:marBottom w:val="0"/>
                  <w:divBdr>
                    <w:top w:val="none" w:sz="0" w:space="0" w:color="auto"/>
                    <w:left w:val="none" w:sz="0" w:space="0" w:color="auto"/>
                    <w:bottom w:val="none" w:sz="0" w:space="0" w:color="auto"/>
                    <w:right w:val="none" w:sz="0" w:space="0" w:color="auto"/>
                  </w:divBdr>
                  <w:divsChild>
                    <w:div w:id="992879425">
                      <w:marLeft w:val="0"/>
                      <w:marRight w:val="0"/>
                      <w:marTop w:val="0"/>
                      <w:marBottom w:val="0"/>
                      <w:divBdr>
                        <w:top w:val="none" w:sz="0" w:space="0" w:color="auto"/>
                        <w:left w:val="none" w:sz="0" w:space="0" w:color="auto"/>
                        <w:bottom w:val="none" w:sz="0" w:space="0" w:color="auto"/>
                        <w:right w:val="none" w:sz="0" w:space="0" w:color="auto"/>
                      </w:divBdr>
                    </w:div>
                  </w:divsChild>
                </w:div>
                <w:div w:id="44717259">
                  <w:marLeft w:val="0"/>
                  <w:marRight w:val="0"/>
                  <w:marTop w:val="0"/>
                  <w:marBottom w:val="0"/>
                  <w:divBdr>
                    <w:top w:val="none" w:sz="0" w:space="0" w:color="auto"/>
                    <w:left w:val="none" w:sz="0" w:space="0" w:color="auto"/>
                    <w:bottom w:val="none" w:sz="0" w:space="0" w:color="auto"/>
                    <w:right w:val="none" w:sz="0" w:space="0" w:color="auto"/>
                  </w:divBdr>
                  <w:divsChild>
                    <w:div w:id="1848591758">
                      <w:marLeft w:val="0"/>
                      <w:marRight w:val="0"/>
                      <w:marTop w:val="0"/>
                      <w:marBottom w:val="0"/>
                      <w:divBdr>
                        <w:top w:val="none" w:sz="0" w:space="0" w:color="auto"/>
                        <w:left w:val="none" w:sz="0" w:space="0" w:color="auto"/>
                        <w:bottom w:val="none" w:sz="0" w:space="0" w:color="auto"/>
                        <w:right w:val="none" w:sz="0" w:space="0" w:color="auto"/>
                      </w:divBdr>
                    </w:div>
                  </w:divsChild>
                </w:div>
                <w:div w:id="751514432">
                  <w:marLeft w:val="0"/>
                  <w:marRight w:val="0"/>
                  <w:marTop w:val="0"/>
                  <w:marBottom w:val="0"/>
                  <w:divBdr>
                    <w:top w:val="none" w:sz="0" w:space="0" w:color="auto"/>
                    <w:left w:val="none" w:sz="0" w:space="0" w:color="auto"/>
                    <w:bottom w:val="none" w:sz="0" w:space="0" w:color="auto"/>
                    <w:right w:val="none" w:sz="0" w:space="0" w:color="auto"/>
                  </w:divBdr>
                  <w:divsChild>
                    <w:div w:id="464078644">
                      <w:marLeft w:val="0"/>
                      <w:marRight w:val="0"/>
                      <w:marTop w:val="0"/>
                      <w:marBottom w:val="0"/>
                      <w:divBdr>
                        <w:top w:val="none" w:sz="0" w:space="0" w:color="auto"/>
                        <w:left w:val="none" w:sz="0" w:space="0" w:color="auto"/>
                        <w:bottom w:val="none" w:sz="0" w:space="0" w:color="auto"/>
                        <w:right w:val="none" w:sz="0" w:space="0" w:color="auto"/>
                      </w:divBdr>
                    </w:div>
                  </w:divsChild>
                </w:div>
                <w:div w:id="1471484915">
                  <w:marLeft w:val="0"/>
                  <w:marRight w:val="0"/>
                  <w:marTop w:val="0"/>
                  <w:marBottom w:val="0"/>
                  <w:divBdr>
                    <w:top w:val="none" w:sz="0" w:space="0" w:color="auto"/>
                    <w:left w:val="none" w:sz="0" w:space="0" w:color="auto"/>
                    <w:bottom w:val="none" w:sz="0" w:space="0" w:color="auto"/>
                    <w:right w:val="none" w:sz="0" w:space="0" w:color="auto"/>
                  </w:divBdr>
                  <w:divsChild>
                    <w:div w:id="1003124219">
                      <w:marLeft w:val="0"/>
                      <w:marRight w:val="0"/>
                      <w:marTop w:val="0"/>
                      <w:marBottom w:val="0"/>
                      <w:divBdr>
                        <w:top w:val="none" w:sz="0" w:space="0" w:color="auto"/>
                        <w:left w:val="none" w:sz="0" w:space="0" w:color="auto"/>
                        <w:bottom w:val="none" w:sz="0" w:space="0" w:color="auto"/>
                        <w:right w:val="none" w:sz="0" w:space="0" w:color="auto"/>
                      </w:divBdr>
                    </w:div>
                  </w:divsChild>
                </w:div>
                <w:div w:id="1168862502">
                  <w:marLeft w:val="0"/>
                  <w:marRight w:val="0"/>
                  <w:marTop w:val="0"/>
                  <w:marBottom w:val="0"/>
                  <w:divBdr>
                    <w:top w:val="none" w:sz="0" w:space="0" w:color="auto"/>
                    <w:left w:val="none" w:sz="0" w:space="0" w:color="auto"/>
                    <w:bottom w:val="none" w:sz="0" w:space="0" w:color="auto"/>
                    <w:right w:val="none" w:sz="0" w:space="0" w:color="auto"/>
                  </w:divBdr>
                  <w:divsChild>
                    <w:div w:id="1465460514">
                      <w:marLeft w:val="0"/>
                      <w:marRight w:val="0"/>
                      <w:marTop w:val="0"/>
                      <w:marBottom w:val="0"/>
                      <w:divBdr>
                        <w:top w:val="none" w:sz="0" w:space="0" w:color="auto"/>
                        <w:left w:val="none" w:sz="0" w:space="0" w:color="auto"/>
                        <w:bottom w:val="none" w:sz="0" w:space="0" w:color="auto"/>
                        <w:right w:val="none" w:sz="0" w:space="0" w:color="auto"/>
                      </w:divBdr>
                    </w:div>
                  </w:divsChild>
                </w:div>
                <w:div w:id="1659379268">
                  <w:marLeft w:val="0"/>
                  <w:marRight w:val="0"/>
                  <w:marTop w:val="0"/>
                  <w:marBottom w:val="0"/>
                  <w:divBdr>
                    <w:top w:val="none" w:sz="0" w:space="0" w:color="auto"/>
                    <w:left w:val="none" w:sz="0" w:space="0" w:color="auto"/>
                    <w:bottom w:val="none" w:sz="0" w:space="0" w:color="auto"/>
                    <w:right w:val="none" w:sz="0" w:space="0" w:color="auto"/>
                  </w:divBdr>
                  <w:divsChild>
                    <w:div w:id="2034765667">
                      <w:marLeft w:val="0"/>
                      <w:marRight w:val="0"/>
                      <w:marTop w:val="0"/>
                      <w:marBottom w:val="0"/>
                      <w:divBdr>
                        <w:top w:val="none" w:sz="0" w:space="0" w:color="auto"/>
                        <w:left w:val="none" w:sz="0" w:space="0" w:color="auto"/>
                        <w:bottom w:val="none" w:sz="0" w:space="0" w:color="auto"/>
                        <w:right w:val="none" w:sz="0" w:space="0" w:color="auto"/>
                      </w:divBdr>
                    </w:div>
                  </w:divsChild>
                </w:div>
                <w:div w:id="1505897751">
                  <w:marLeft w:val="0"/>
                  <w:marRight w:val="0"/>
                  <w:marTop w:val="0"/>
                  <w:marBottom w:val="0"/>
                  <w:divBdr>
                    <w:top w:val="none" w:sz="0" w:space="0" w:color="auto"/>
                    <w:left w:val="none" w:sz="0" w:space="0" w:color="auto"/>
                    <w:bottom w:val="none" w:sz="0" w:space="0" w:color="auto"/>
                    <w:right w:val="none" w:sz="0" w:space="0" w:color="auto"/>
                  </w:divBdr>
                  <w:divsChild>
                    <w:div w:id="599071588">
                      <w:marLeft w:val="0"/>
                      <w:marRight w:val="0"/>
                      <w:marTop w:val="0"/>
                      <w:marBottom w:val="0"/>
                      <w:divBdr>
                        <w:top w:val="none" w:sz="0" w:space="0" w:color="auto"/>
                        <w:left w:val="none" w:sz="0" w:space="0" w:color="auto"/>
                        <w:bottom w:val="none" w:sz="0" w:space="0" w:color="auto"/>
                        <w:right w:val="none" w:sz="0" w:space="0" w:color="auto"/>
                      </w:divBdr>
                    </w:div>
                  </w:divsChild>
                </w:div>
                <w:div w:id="1850441221">
                  <w:marLeft w:val="0"/>
                  <w:marRight w:val="0"/>
                  <w:marTop w:val="0"/>
                  <w:marBottom w:val="0"/>
                  <w:divBdr>
                    <w:top w:val="none" w:sz="0" w:space="0" w:color="auto"/>
                    <w:left w:val="none" w:sz="0" w:space="0" w:color="auto"/>
                    <w:bottom w:val="none" w:sz="0" w:space="0" w:color="auto"/>
                    <w:right w:val="none" w:sz="0" w:space="0" w:color="auto"/>
                  </w:divBdr>
                  <w:divsChild>
                    <w:div w:id="1324773103">
                      <w:marLeft w:val="0"/>
                      <w:marRight w:val="0"/>
                      <w:marTop w:val="0"/>
                      <w:marBottom w:val="0"/>
                      <w:divBdr>
                        <w:top w:val="none" w:sz="0" w:space="0" w:color="auto"/>
                        <w:left w:val="none" w:sz="0" w:space="0" w:color="auto"/>
                        <w:bottom w:val="none" w:sz="0" w:space="0" w:color="auto"/>
                        <w:right w:val="none" w:sz="0" w:space="0" w:color="auto"/>
                      </w:divBdr>
                    </w:div>
                  </w:divsChild>
                </w:div>
                <w:div w:id="1916433595">
                  <w:marLeft w:val="0"/>
                  <w:marRight w:val="0"/>
                  <w:marTop w:val="0"/>
                  <w:marBottom w:val="0"/>
                  <w:divBdr>
                    <w:top w:val="none" w:sz="0" w:space="0" w:color="auto"/>
                    <w:left w:val="none" w:sz="0" w:space="0" w:color="auto"/>
                    <w:bottom w:val="none" w:sz="0" w:space="0" w:color="auto"/>
                    <w:right w:val="none" w:sz="0" w:space="0" w:color="auto"/>
                  </w:divBdr>
                  <w:divsChild>
                    <w:div w:id="568736028">
                      <w:marLeft w:val="0"/>
                      <w:marRight w:val="0"/>
                      <w:marTop w:val="0"/>
                      <w:marBottom w:val="0"/>
                      <w:divBdr>
                        <w:top w:val="none" w:sz="0" w:space="0" w:color="auto"/>
                        <w:left w:val="none" w:sz="0" w:space="0" w:color="auto"/>
                        <w:bottom w:val="none" w:sz="0" w:space="0" w:color="auto"/>
                        <w:right w:val="none" w:sz="0" w:space="0" w:color="auto"/>
                      </w:divBdr>
                    </w:div>
                  </w:divsChild>
                </w:div>
                <w:div w:id="1254706568">
                  <w:marLeft w:val="0"/>
                  <w:marRight w:val="0"/>
                  <w:marTop w:val="0"/>
                  <w:marBottom w:val="0"/>
                  <w:divBdr>
                    <w:top w:val="none" w:sz="0" w:space="0" w:color="auto"/>
                    <w:left w:val="none" w:sz="0" w:space="0" w:color="auto"/>
                    <w:bottom w:val="none" w:sz="0" w:space="0" w:color="auto"/>
                    <w:right w:val="none" w:sz="0" w:space="0" w:color="auto"/>
                  </w:divBdr>
                  <w:divsChild>
                    <w:div w:id="1396589801">
                      <w:marLeft w:val="0"/>
                      <w:marRight w:val="0"/>
                      <w:marTop w:val="0"/>
                      <w:marBottom w:val="0"/>
                      <w:divBdr>
                        <w:top w:val="none" w:sz="0" w:space="0" w:color="auto"/>
                        <w:left w:val="none" w:sz="0" w:space="0" w:color="auto"/>
                        <w:bottom w:val="none" w:sz="0" w:space="0" w:color="auto"/>
                        <w:right w:val="none" w:sz="0" w:space="0" w:color="auto"/>
                      </w:divBdr>
                    </w:div>
                  </w:divsChild>
                </w:div>
                <w:div w:id="1908566116">
                  <w:marLeft w:val="0"/>
                  <w:marRight w:val="0"/>
                  <w:marTop w:val="0"/>
                  <w:marBottom w:val="0"/>
                  <w:divBdr>
                    <w:top w:val="none" w:sz="0" w:space="0" w:color="auto"/>
                    <w:left w:val="none" w:sz="0" w:space="0" w:color="auto"/>
                    <w:bottom w:val="none" w:sz="0" w:space="0" w:color="auto"/>
                    <w:right w:val="none" w:sz="0" w:space="0" w:color="auto"/>
                  </w:divBdr>
                  <w:divsChild>
                    <w:div w:id="166139528">
                      <w:marLeft w:val="0"/>
                      <w:marRight w:val="0"/>
                      <w:marTop w:val="0"/>
                      <w:marBottom w:val="0"/>
                      <w:divBdr>
                        <w:top w:val="none" w:sz="0" w:space="0" w:color="auto"/>
                        <w:left w:val="none" w:sz="0" w:space="0" w:color="auto"/>
                        <w:bottom w:val="none" w:sz="0" w:space="0" w:color="auto"/>
                        <w:right w:val="none" w:sz="0" w:space="0" w:color="auto"/>
                      </w:divBdr>
                    </w:div>
                  </w:divsChild>
                </w:div>
                <w:div w:id="21368392">
                  <w:marLeft w:val="0"/>
                  <w:marRight w:val="0"/>
                  <w:marTop w:val="0"/>
                  <w:marBottom w:val="0"/>
                  <w:divBdr>
                    <w:top w:val="none" w:sz="0" w:space="0" w:color="auto"/>
                    <w:left w:val="none" w:sz="0" w:space="0" w:color="auto"/>
                    <w:bottom w:val="none" w:sz="0" w:space="0" w:color="auto"/>
                    <w:right w:val="none" w:sz="0" w:space="0" w:color="auto"/>
                  </w:divBdr>
                  <w:divsChild>
                    <w:div w:id="1739132018">
                      <w:marLeft w:val="0"/>
                      <w:marRight w:val="0"/>
                      <w:marTop w:val="0"/>
                      <w:marBottom w:val="0"/>
                      <w:divBdr>
                        <w:top w:val="none" w:sz="0" w:space="0" w:color="auto"/>
                        <w:left w:val="none" w:sz="0" w:space="0" w:color="auto"/>
                        <w:bottom w:val="none" w:sz="0" w:space="0" w:color="auto"/>
                        <w:right w:val="none" w:sz="0" w:space="0" w:color="auto"/>
                      </w:divBdr>
                    </w:div>
                  </w:divsChild>
                </w:div>
                <w:div w:id="1827551444">
                  <w:marLeft w:val="0"/>
                  <w:marRight w:val="0"/>
                  <w:marTop w:val="0"/>
                  <w:marBottom w:val="0"/>
                  <w:divBdr>
                    <w:top w:val="none" w:sz="0" w:space="0" w:color="auto"/>
                    <w:left w:val="none" w:sz="0" w:space="0" w:color="auto"/>
                    <w:bottom w:val="none" w:sz="0" w:space="0" w:color="auto"/>
                    <w:right w:val="none" w:sz="0" w:space="0" w:color="auto"/>
                  </w:divBdr>
                  <w:divsChild>
                    <w:div w:id="1889148202">
                      <w:marLeft w:val="0"/>
                      <w:marRight w:val="0"/>
                      <w:marTop w:val="0"/>
                      <w:marBottom w:val="0"/>
                      <w:divBdr>
                        <w:top w:val="none" w:sz="0" w:space="0" w:color="auto"/>
                        <w:left w:val="none" w:sz="0" w:space="0" w:color="auto"/>
                        <w:bottom w:val="none" w:sz="0" w:space="0" w:color="auto"/>
                        <w:right w:val="none" w:sz="0" w:space="0" w:color="auto"/>
                      </w:divBdr>
                    </w:div>
                  </w:divsChild>
                </w:div>
                <w:div w:id="294678223">
                  <w:marLeft w:val="0"/>
                  <w:marRight w:val="0"/>
                  <w:marTop w:val="0"/>
                  <w:marBottom w:val="0"/>
                  <w:divBdr>
                    <w:top w:val="none" w:sz="0" w:space="0" w:color="auto"/>
                    <w:left w:val="none" w:sz="0" w:space="0" w:color="auto"/>
                    <w:bottom w:val="none" w:sz="0" w:space="0" w:color="auto"/>
                    <w:right w:val="none" w:sz="0" w:space="0" w:color="auto"/>
                  </w:divBdr>
                  <w:divsChild>
                    <w:div w:id="622269038">
                      <w:marLeft w:val="0"/>
                      <w:marRight w:val="0"/>
                      <w:marTop w:val="0"/>
                      <w:marBottom w:val="0"/>
                      <w:divBdr>
                        <w:top w:val="none" w:sz="0" w:space="0" w:color="auto"/>
                        <w:left w:val="none" w:sz="0" w:space="0" w:color="auto"/>
                        <w:bottom w:val="none" w:sz="0" w:space="0" w:color="auto"/>
                        <w:right w:val="none" w:sz="0" w:space="0" w:color="auto"/>
                      </w:divBdr>
                    </w:div>
                  </w:divsChild>
                </w:div>
                <w:div w:id="348608184">
                  <w:marLeft w:val="0"/>
                  <w:marRight w:val="0"/>
                  <w:marTop w:val="0"/>
                  <w:marBottom w:val="0"/>
                  <w:divBdr>
                    <w:top w:val="none" w:sz="0" w:space="0" w:color="auto"/>
                    <w:left w:val="none" w:sz="0" w:space="0" w:color="auto"/>
                    <w:bottom w:val="none" w:sz="0" w:space="0" w:color="auto"/>
                    <w:right w:val="none" w:sz="0" w:space="0" w:color="auto"/>
                  </w:divBdr>
                  <w:divsChild>
                    <w:div w:id="916675387">
                      <w:marLeft w:val="0"/>
                      <w:marRight w:val="0"/>
                      <w:marTop w:val="0"/>
                      <w:marBottom w:val="0"/>
                      <w:divBdr>
                        <w:top w:val="none" w:sz="0" w:space="0" w:color="auto"/>
                        <w:left w:val="none" w:sz="0" w:space="0" w:color="auto"/>
                        <w:bottom w:val="none" w:sz="0" w:space="0" w:color="auto"/>
                        <w:right w:val="none" w:sz="0" w:space="0" w:color="auto"/>
                      </w:divBdr>
                    </w:div>
                  </w:divsChild>
                </w:div>
                <w:div w:id="1600603587">
                  <w:marLeft w:val="0"/>
                  <w:marRight w:val="0"/>
                  <w:marTop w:val="0"/>
                  <w:marBottom w:val="0"/>
                  <w:divBdr>
                    <w:top w:val="none" w:sz="0" w:space="0" w:color="auto"/>
                    <w:left w:val="none" w:sz="0" w:space="0" w:color="auto"/>
                    <w:bottom w:val="none" w:sz="0" w:space="0" w:color="auto"/>
                    <w:right w:val="none" w:sz="0" w:space="0" w:color="auto"/>
                  </w:divBdr>
                  <w:divsChild>
                    <w:div w:id="1723555782">
                      <w:marLeft w:val="0"/>
                      <w:marRight w:val="0"/>
                      <w:marTop w:val="0"/>
                      <w:marBottom w:val="0"/>
                      <w:divBdr>
                        <w:top w:val="none" w:sz="0" w:space="0" w:color="auto"/>
                        <w:left w:val="none" w:sz="0" w:space="0" w:color="auto"/>
                        <w:bottom w:val="none" w:sz="0" w:space="0" w:color="auto"/>
                        <w:right w:val="none" w:sz="0" w:space="0" w:color="auto"/>
                      </w:divBdr>
                    </w:div>
                  </w:divsChild>
                </w:div>
                <w:div w:id="1833986754">
                  <w:marLeft w:val="0"/>
                  <w:marRight w:val="0"/>
                  <w:marTop w:val="0"/>
                  <w:marBottom w:val="0"/>
                  <w:divBdr>
                    <w:top w:val="none" w:sz="0" w:space="0" w:color="auto"/>
                    <w:left w:val="none" w:sz="0" w:space="0" w:color="auto"/>
                    <w:bottom w:val="none" w:sz="0" w:space="0" w:color="auto"/>
                    <w:right w:val="none" w:sz="0" w:space="0" w:color="auto"/>
                  </w:divBdr>
                  <w:divsChild>
                    <w:div w:id="1594119814">
                      <w:marLeft w:val="0"/>
                      <w:marRight w:val="0"/>
                      <w:marTop w:val="0"/>
                      <w:marBottom w:val="0"/>
                      <w:divBdr>
                        <w:top w:val="none" w:sz="0" w:space="0" w:color="auto"/>
                        <w:left w:val="none" w:sz="0" w:space="0" w:color="auto"/>
                        <w:bottom w:val="none" w:sz="0" w:space="0" w:color="auto"/>
                        <w:right w:val="none" w:sz="0" w:space="0" w:color="auto"/>
                      </w:divBdr>
                    </w:div>
                  </w:divsChild>
                </w:div>
                <w:div w:id="1429539709">
                  <w:marLeft w:val="0"/>
                  <w:marRight w:val="0"/>
                  <w:marTop w:val="0"/>
                  <w:marBottom w:val="0"/>
                  <w:divBdr>
                    <w:top w:val="none" w:sz="0" w:space="0" w:color="auto"/>
                    <w:left w:val="none" w:sz="0" w:space="0" w:color="auto"/>
                    <w:bottom w:val="none" w:sz="0" w:space="0" w:color="auto"/>
                    <w:right w:val="none" w:sz="0" w:space="0" w:color="auto"/>
                  </w:divBdr>
                  <w:divsChild>
                    <w:div w:id="1007058595">
                      <w:marLeft w:val="0"/>
                      <w:marRight w:val="0"/>
                      <w:marTop w:val="0"/>
                      <w:marBottom w:val="0"/>
                      <w:divBdr>
                        <w:top w:val="none" w:sz="0" w:space="0" w:color="auto"/>
                        <w:left w:val="none" w:sz="0" w:space="0" w:color="auto"/>
                        <w:bottom w:val="none" w:sz="0" w:space="0" w:color="auto"/>
                        <w:right w:val="none" w:sz="0" w:space="0" w:color="auto"/>
                      </w:divBdr>
                    </w:div>
                  </w:divsChild>
                </w:div>
                <w:div w:id="1853448303">
                  <w:marLeft w:val="0"/>
                  <w:marRight w:val="0"/>
                  <w:marTop w:val="0"/>
                  <w:marBottom w:val="0"/>
                  <w:divBdr>
                    <w:top w:val="none" w:sz="0" w:space="0" w:color="auto"/>
                    <w:left w:val="none" w:sz="0" w:space="0" w:color="auto"/>
                    <w:bottom w:val="none" w:sz="0" w:space="0" w:color="auto"/>
                    <w:right w:val="none" w:sz="0" w:space="0" w:color="auto"/>
                  </w:divBdr>
                  <w:divsChild>
                    <w:div w:id="894197279">
                      <w:marLeft w:val="0"/>
                      <w:marRight w:val="0"/>
                      <w:marTop w:val="0"/>
                      <w:marBottom w:val="0"/>
                      <w:divBdr>
                        <w:top w:val="none" w:sz="0" w:space="0" w:color="auto"/>
                        <w:left w:val="none" w:sz="0" w:space="0" w:color="auto"/>
                        <w:bottom w:val="none" w:sz="0" w:space="0" w:color="auto"/>
                        <w:right w:val="none" w:sz="0" w:space="0" w:color="auto"/>
                      </w:divBdr>
                    </w:div>
                  </w:divsChild>
                </w:div>
                <w:div w:id="107900148">
                  <w:marLeft w:val="0"/>
                  <w:marRight w:val="0"/>
                  <w:marTop w:val="0"/>
                  <w:marBottom w:val="0"/>
                  <w:divBdr>
                    <w:top w:val="none" w:sz="0" w:space="0" w:color="auto"/>
                    <w:left w:val="none" w:sz="0" w:space="0" w:color="auto"/>
                    <w:bottom w:val="none" w:sz="0" w:space="0" w:color="auto"/>
                    <w:right w:val="none" w:sz="0" w:space="0" w:color="auto"/>
                  </w:divBdr>
                  <w:divsChild>
                    <w:div w:id="389840631">
                      <w:marLeft w:val="0"/>
                      <w:marRight w:val="0"/>
                      <w:marTop w:val="0"/>
                      <w:marBottom w:val="0"/>
                      <w:divBdr>
                        <w:top w:val="none" w:sz="0" w:space="0" w:color="auto"/>
                        <w:left w:val="none" w:sz="0" w:space="0" w:color="auto"/>
                        <w:bottom w:val="none" w:sz="0" w:space="0" w:color="auto"/>
                        <w:right w:val="none" w:sz="0" w:space="0" w:color="auto"/>
                      </w:divBdr>
                    </w:div>
                  </w:divsChild>
                </w:div>
                <w:div w:id="1473130354">
                  <w:marLeft w:val="0"/>
                  <w:marRight w:val="0"/>
                  <w:marTop w:val="0"/>
                  <w:marBottom w:val="0"/>
                  <w:divBdr>
                    <w:top w:val="none" w:sz="0" w:space="0" w:color="auto"/>
                    <w:left w:val="none" w:sz="0" w:space="0" w:color="auto"/>
                    <w:bottom w:val="none" w:sz="0" w:space="0" w:color="auto"/>
                    <w:right w:val="none" w:sz="0" w:space="0" w:color="auto"/>
                  </w:divBdr>
                  <w:divsChild>
                    <w:div w:id="1959990806">
                      <w:marLeft w:val="0"/>
                      <w:marRight w:val="0"/>
                      <w:marTop w:val="0"/>
                      <w:marBottom w:val="0"/>
                      <w:divBdr>
                        <w:top w:val="none" w:sz="0" w:space="0" w:color="auto"/>
                        <w:left w:val="none" w:sz="0" w:space="0" w:color="auto"/>
                        <w:bottom w:val="none" w:sz="0" w:space="0" w:color="auto"/>
                        <w:right w:val="none" w:sz="0" w:space="0" w:color="auto"/>
                      </w:divBdr>
                    </w:div>
                  </w:divsChild>
                </w:div>
                <w:div w:id="1650789206">
                  <w:marLeft w:val="0"/>
                  <w:marRight w:val="0"/>
                  <w:marTop w:val="0"/>
                  <w:marBottom w:val="0"/>
                  <w:divBdr>
                    <w:top w:val="none" w:sz="0" w:space="0" w:color="auto"/>
                    <w:left w:val="none" w:sz="0" w:space="0" w:color="auto"/>
                    <w:bottom w:val="none" w:sz="0" w:space="0" w:color="auto"/>
                    <w:right w:val="none" w:sz="0" w:space="0" w:color="auto"/>
                  </w:divBdr>
                  <w:divsChild>
                    <w:div w:id="1013528289">
                      <w:marLeft w:val="0"/>
                      <w:marRight w:val="0"/>
                      <w:marTop w:val="0"/>
                      <w:marBottom w:val="0"/>
                      <w:divBdr>
                        <w:top w:val="none" w:sz="0" w:space="0" w:color="auto"/>
                        <w:left w:val="none" w:sz="0" w:space="0" w:color="auto"/>
                        <w:bottom w:val="none" w:sz="0" w:space="0" w:color="auto"/>
                        <w:right w:val="none" w:sz="0" w:space="0" w:color="auto"/>
                      </w:divBdr>
                    </w:div>
                  </w:divsChild>
                </w:div>
                <w:div w:id="1622491154">
                  <w:marLeft w:val="0"/>
                  <w:marRight w:val="0"/>
                  <w:marTop w:val="0"/>
                  <w:marBottom w:val="0"/>
                  <w:divBdr>
                    <w:top w:val="none" w:sz="0" w:space="0" w:color="auto"/>
                    <w:left w:val="none" w:sz="0" w:space="0" w:color="auto"/>
                    <w:bottom w:val="none" w:sz="0" w:space="0" w:color="auto"/>
                    <w:right w:val="none" w:sz="0" w:space="0" w:color="auto"/>
                  </w:divBdr>
                  <w:divsChild>
                    <w:div w:id="8875745">
                      <w:marLeft w:val="0"/>
                      <w:marRight w:val="0"/>
                      <w:marTop w:val="0"/>
                      <w:marBottom w:val="0"/>
                      <w:divBdr>
                        <w:top w:val="none" w:sz="0" w:space="0" w:color="auto"/>
                        <w:left w:val="none" w:sz="0" w:space="0" w:color="auto"/>
                        <w:bottom w:val="none" w:sz="0" w:space="0" w:color="auto"/>
                        <w:right w:val="none" w:sz="0" w:space="0" w:color="auto"/>
                      </w:divBdr>
                    </w:div>
                  </w:divsChild>
                </w:div>
                <w:div w:id="1764646783">
                  <w:marLeft w:val="0"/>
                  <w:marRight w:val="0"/>
                  <w:marTop w:val="0"/>
                  <w:marBottom w:val="0"/>
                  <w:divBdr>
                    <w:top w:val="none" w:sz="0" w:space="0" w:color="auto"/>
                    <w:left w:val="none" w:sz="0" w:space="0" w:color="auto"/>
                    <w:bottom w:val="none" w:sz="0" w:space="0" w:color="auto"/>
                    <w:right w:val="none" w:sz="0" w:space="0" w:color="auto"/>
                  </w:divBdr>
                  <w:divsChild>
                    <w:div w:id="42871450">
                      <w:marLeft w:val="0"/>
                      <w:marRight w:val="0"/>
                      <w:marTop w:val="0"/>
                      <w:marBottom w:val="0"/>
                      <w:divBdr>
                        <w:top w:val="none" w:sz="0" w:space="0" w:color="auto"/>
                        <w:left w:val="none" w:sz="0" w:space="0" w:color="auto"/>
                        <w:bottom w:val="none" w:sz="0" w:space="0" w:color="auto"/>
                        <w:right w:val="none" w:sz="0" w:space="0" w:color="auto"/>
                      </w:divBdr>
                    </w:div>
                  </w:divsChild>
                </w:div>
                <w:div w:id="1555122180">
                  <w:marLeft w:val="0"/>
                  <w:marRight w:val="0"/>
                  <w:marTop w:val="0"/>
                  <w:marBottom w:val="0"/>
                  <w:divBdr>
                    <w:top w:val="none" w:sz="0" w:space="0" w:color="auto"/>
                    <w:left w:val="none" w:sz="0" w:space="0" w:color="auto"/>
                    <w:bottom w:val="none" w:sz="0" w:space="0" w:color="auto"/>
                    <w:right w:val="none" w:sz="0" w:space="0" w:color="auto"/>
                  </w:divBdr>
                  <w:divsChild>
                    <w:div w:id="899250373">
                      <w:marLeft w:val="0"/>
                      <w:marRight w:val="0"/>
                      <w:marTop w:val="0"/>
                      <w:marBottom w:val="0"/>
                      <w:divBdr>
                        <w:top w:val="none" w:sz="0" w:space="0" w:color="auto"/>
                        <w:left w:val="none" w:sz="0" w:space="0" w:color="auto"/>
                        <w:bottom w:val="none" w:sz="0" w:space="0" w:color="auto"/>
                        <w:right w:val="none" w:sz="0" w:space="0" w:color="auto"/>
                      </w:divBdr>
                    </w:div>
                  </w:divsChild>
                </w:div>
                <w:div w:id="1266695412">
                  <w:marLeft w:val="0"/>
                  <w:marRight w:val="0"/>
                  <w:marTop w:val="0"/>
                  <w:marBottom w:val="0"/>
                  <w:divBdr>
                    <w:top w:val="none" w:sz="0" w:space="0" w:color="auto"/>
                    <w:left w:val="none" w:sz="0" w:space="0" w:color="auto"/>
                    <w:bottom w:val="none" w:sz="0" w:space="0" w:color="auto"/>
                    <w:right w:val="none" w:sz="0" w:space="0" w:color="auto"/>
                  </w:divBdr>
                  <w:divsChild>
                    <w:div w:id="1331251480">
                      <w:marLeft w:val="0"/>
                      <w:marRight w:val="0"/>
                      <w:marTop w:val="0"/>
                      <w:marBottom w:val="0"/>
                      <w:divBdr>
                        <w:top w:val="none" w:sz="0" w:space="0" w:color="auto"/>
                        <w:left w:val="none" w:sz="0" w:space="0" w:color="auto"/>
                        <w:bottom w:val="none" w:sz="0" w:space="0" w:color="auto"/>
                        <w:right w:val="none" w:sz="0" w:space="0" w:color="auto"/>
                      </w:divBdr>
                    </w:div>
                  </w:divsChild>
                </w:div>
                <w:div w:id="186062151">
                  <w:marLeft w:val="0"/>
                  <w:marRight w:val="0"/>
                  <w:marTop w:val="0"/>
                  <w:marBottom w:val="0"/>
                  <w:divBdr>
                    <w:top w:val="none" w:sz="0" w:space="0" w:color="auto"/>
                    <w:left w:val="none" w:sz="0" w:space="0" w:color="auto"/>
                    <w:bottom w:val="none" w:sz="0" w:space="0" w:color="auto"/>
                    <w:right w:val="none" w:sz="0" w:space="0" w:color="auto"/>
                  </w:divBdr>
                  <w:divsChild>
                    <w:div w:id="10375534">
                      <w:marLeft w:val="0"/>
                      <w:marRight w:val="0"/>
                      <w:marTop w:val="0"/>
                      <w:marBottom w:val="0"/>
                      <w:divBdr>
                        <w:top w:val="none" w:sz="0" w:space="0" w:color="auto"/>
                        <w:left w:val="none" w:sz="0" w:space="0" w:color="auto"/>
                        <w:bottom w:val="none" w:sz="0" w:space="0" w:color="auto"/>
                        <w:right w:val="none" w:sz="0" w:space="0" w:color="auto"/>
                      </w:divBdr>
                    </w:div>
                  </w:divsChild>
                </w:div>
                <w:div w:id="576016184">
                  <w:marLeft w:val="0"/>
                  <w:marRight w:val="0"/>
                  <w:marTop w:val="0"/>
                  <w:marBottom w:val="0"/>
                  <w:divBdr>
                    <w:top w:val="none" w:sz="0" w:space="0" w:color="auto"/>
                    <w:left w:val="none" w:sz="0" w:space="0" w:color="auto"/>
                    <w:bottom w:val="none" w:sz="0" w:space="0" w:color="auto"/>
                    <w:right w:val="none" w:sz="0" w:space="0" w:color="auto"/>
                  </w:divBdr>
                  <w:divsChild>
                    <w:div w:id="1209024210">
                      <w:marLeft w:val="0"/>
                      <w:marRight w:val="0"/>
                      <w:marTop w:val="0"/>
                      <w:marBottom w:val="0"/>
                      <w:divBdr>
                        <w:top w:val="none" w:sz="0" w:space="0" w:color="auto"/>
                        <w:left w:val="none" w:sz="0" w:space="0" w:color="auto"/>
                        <w:bottom w:val="none" w:sz="0" w:space="0" w:color="auto"/>
                        <w:right w:val="none" w:sz="0" w:space="0" w:color="auto"/>
                      </w:divBdr>
                    </w:div>
                  </w:divsChild>
                </w:div>
                <w:div w:id="932131170">
                  <w:marLeft w:val="0"/>
                  <w:marRight w:val="0"/>
                  <w:marTop w:val="0"/>
                  <w:marBottom w:val="0"/>
                  <w:divBdr>
                    <w:top w:val="none" w:sz="0" w:space="0" w:color="auto"/>
                    <w:left w:val="none" w:sz="0" w:space="0" w:color="auto"/>
                    <w:bottom w:val="none" w:sz="0" w:space="0" w:color="auto"/>
                    <w:right w:val="none" w:sz="0" w:space="0" w:color="auto"/>
                  </w:divBdr>
                  <w:divsChild>
                    <w:div w:id="1201865716">
                      <w:marLeft w:val="0"/>
                      <w:marRight w:val="0"/>
                      <w:marTop w:val="0"/>
                      <w:marBottom w:val="0"/>
                      <w:divBdr>
                        <w:top w:val="none" w:sz="0" w:space="0" w:color="auto"/>
                        <w:left w:val="none" w:sz="0" w:space="0" w:color="auto"/>
                        <w:bottom w:val="none" w:sz="0" w:space="0" w:color="auto"/>
                        <w:right w:val="none" w:sz="0" w:space="0" w:color="auto"/>
                      </w:divBdr>
                    </w:div>
                  </w:divsChild>
                </w:div>
                <w:div w:id="1765804377">
                  <w:marLeft w:val="0"/>
                  <w:marRight w:val="0"/>
                  <w:marTop w:val="0"/>
                  <w:marBottom w:val="0"/>
                  <w:divBdr>
                    <w:top w:val="none" w:sz="0" w:space="0" w:color="auto"/>
                    <w:left w:val="none" w:sz="0" w:space="0" w:color="auto"/>
                    <w:bottom w:val="none" w:sz="0" w:space="0" w:color="auto"/>
                    <w:right w:val="none" w:sz="0" w:space="0" w:color="auto"/>
                  </w:divBdr>
                  <w:divsChild>
                    <w:div w:id="176577018">
                      <w:marLeft w:val="0"/>
                      <w:marRight w:val="0"/>
                      <w:marTop w:val="0"/>
                      <w:marBottom w:val="0"/>
                      <w:divBdr>
                        <w:top w:val="none" w:sz="0" w:space="0" w:color="auto"/>
                        <w:left w:val="none" w:sz="0" w:space="0" w:color="auto"/>
                        <w:bottom w:val="none" w:sz="0" w:space="0" w:color="auto"/>
                        <w:right w:val="none" w:sz="0" w:space="0" w:color="auto"/>
                      </w:divBdr>
                    </w:div>
                  </w:divsChild>
                </w:div>
                <w:div w:id="1575042458">
                  <w:marLeft w:val="0"/>
                  <w:marRight w:val="0"/>
                  <w:marTop w:val="0"/>
                  <w:marBottom w:val="0"/>
                  <w:divBdr>
                    <w:top w:val="none" w:sz="0" w:space="0" w:color="auto"/>
                    <w:left w:val="none" w:sz="0" w:space="0" w:color="auto"/>
                    <w:bottom w:val="none" w:sz="0" w:space="0" w:color="auto"/>
                    <w:right w:val="none" w:sz="0" w:space="0" w:color="auto"/>
                  </w:divBdr>
                  <w:divsChild>
                    <w:div w:id="738672750">
                      <w:marLeft w:val="0"/>
                      <w:marRight w:val="0"/>
                      <w:marTop w:val="0"/>
                      <w:marBottom w:val="0"/>
                      <w:divBdr>
                        <w:top w:val="none" w:sz="0" w:space="0" w:color="auto"/>
                        <w:left w:val="none" w:sz="0" w:space="0" w:color="auto"/>
                        <w:bottom w:val="none" w:sz="0" w:space="0" w:color="auto"/>
                        <w:right w:val="none" w:sz="0" w:space="0" w:color="auto"/>
                      </w:divBdr>
                    </w:div>
                  </w:divsChild>
                </w:div>
                <w:div w:id="30960847">
                  <w:marLeft w:val="0"/>
                  <w:marRight w:val="0"/>
                  <w:marTop w:val="0"/>
                  <w:marBottom w:val="0"/>
                  <w:divBdr>
                    <w:top w:val="none" w:sz="0" w:space="0" w:color="auto"/>
                    <w:left w:val="none" w:sz="0" w:space="0" w:color="auto"/>
                    <w:bottom w:val="none" w:sz="0" w:space="0" w:color="auto"/>
                    <w:right w:val="none" w:sz="0" w:space="0" w:color="auto"/>
                  </w:divBdr>
                  <w:divsChild>
                    <w:div w:id="1342319816">
                      <w:marLeft w:val="0"/>
                      <w:marRight w:val="0"/>
                      <w:marTop w:val="0"/>
                      <w:marBottom w:val="0"/>
                      <w:divBdr>
                        <w:top w:val="none" w:sz="0" w:space="0" w:color="auto"/>
                        <w:left w:val="none" w:sz="0" w:space="0" w:color="auto"/>
                        <w:bottom w:val="none" w:sz="0" w:space="0" w:color="auto"/>
                        <w:right w:val="none" w:sz="0" w:space="0" w:color="auto"/>
                      </w:divBdr>
                    </w:div>
                  </w:divsChild>
                </w:div>
                <w:div w:id="1768696586">
                  <w:marLeft w:val="0"/>
                  <w:marRight w:val="0"/>
                  <w:marTop w:val="0"/>
                  <w:marBottom w:val="0"/>
                  <w:divBdr>
                    <w:top w:val="none" w:sz="0" w:space="0" w:color="auto"/>
                    <w:left w:val="none" w:sz="0" w:space="0" w:color="auto"/>
                    <w:bottom w:val="none" w:sz="0" w:space="0" w:color="auto"/>
                    <w:right w:val="none" w:sz="0" w:space="0" w:color="auto"/>
                  </w:divBdr>
                  <w:divsChild>
                    <w:div w:id="1977174381">
                      <w:marLeft w:val="0"/>
                      <w:marRight w:val="0"/>
                      <w:marTop w:val="0"/>
                      <w:marBottom w:val="0"/>
                      <w:divBdr>
                        <w:top w:val="none" w:sz="0" w:space="0" w:color="auto"/>
                        <w:left w:val="none" w:sz="0" w:space="0" w:color="auto"/>
                        <w:bottom w:val="none" w:sz="0" w:space="0" w:color="auto"/>
                        <w:right w:val="none" w:sz="0" w:space="0" w:color="auto"/>
                      </w:divBdr>
                    </w:div>
                  </w:divsChild>
                </w:div>
                <w:div w:id="1907106913">
                  <w:marLeft w:val="0"/>
                  <w:marRight w:val="0"/>
                  <w:marTop w:val="0"/>
                  <w:marBottom w:val="0"/>
                  <w:divBdr>
                    <w:top w:val="none" w:sz="0" w:space="0" w:color="auto"/>
                    <w:left w:val="none" w:sz="0" w:space="0" w:color="auto"/>
                    <w:bottom w:val="none" w:sz="0" w:space="0" w:color="auto"/>
                    <w:right w:val="none" w:sz="0" w:space="0" w:color="auto"/>
                  </w:divBdr>
                  <w:divsChild>
                    <w:div w:id="1154223798">
                      <w:marLeft w:val="0"/>
                      <w:marRight w:val="0"/>
                      <w:marTop w:val="0"/>
                      <w:marBottom w:val="0"/>
                      <w:divBdr>
                        <w:top w:val="none" w:sz="0" w:space="0" w:color="auto"/>
                        <w:left w:val="none" w:sz="0" w:space="0" w:color="auto"/>
                        <w:bottom w:val="none" w:sz="0" w:space="0" w:color="auto"/>
                        <w:right w:val="none" w:sz="0" w:space="0" w:color="auto"/>
                      </w:divBdr>
                    </w:div>
                  </w:divsChild>
                </w:div>
                <w:div w:id="20134288">
                  <w:marLeft w:val="0"/>
                  <w:marRight w:val="0"/>
                  <w:marTop w:val="0"/>
                  <w:marBottom w:val="0"/>
                  <w:divBdr>
                    <w:top w:val="none" w:sz="0" w:space="0" w:color="auto"/>
                    <w:left w:val="none" w:sz="0" w:space="0" w:color="auto"/>
                    <w:bottom w:val="none" w:sz="0" w:space="0" w:color="auto"/>
                    <w:right w:val="none" w:sz="0" w:space="0" w:color="auto"/>
                  </w:divBdr>
                  <w:divsChild>
                    <w:div w:id="1051004449">
                      <w:marLeft w:val="0"/>
                      <w:marRight w:val="0"/>
                      <w:marTop w:val="0"/>
                      <w:marBottom w:val="0"/>
                      <w:divBdr>
                        <w:top w:val="none" w:sz="0" w:space="0" w:color="auto"/>
                        <w:left w:val="none" w:sz="0" w:space="0" w:color="auto"/>
                        <w:bottom w:val="none" w:sz="0" w:space="0" w:color="auto"/>
                        <w:right w:val="none" w:sz="0" w:space="0" w:color="auto"/>
                      </w:divBdr>
                    </w:div>
                  </w:divsChild>
                </w:div>
                <w:div w:id="2104915393">
                  <w:marLeft w:val="0"/>
                  <w:marRight w:val="0"/>
                  <w:marTop w:val="0"/>
                  <w:marBottom w:val="0"/>
                  <w:divBdr>
                    <w:top w:val="none" w:sz="0" w:space="0" w:color="auto"/>
                    <w:left w:val="none" w:sz="0" w:space="0" w:color="auto"/>
                    <w:bottom w:val="none" w:sz="0" w:space="0" w:color="auto"/>
                    <w:right w:val="none" w:sz="0" w:space="0" w:color="auto"/>
                  </w:divBdr>
                  <w:divsChild>
                    <w:div w:id="1913005135">
                      <w:marLeft w:val="0"/>
                      <w:marRight w:val="0"/>
                      <w:marTop w:val="0"/>
                      <w:marBottom w:val="0"/>
                      <w:divBdr>
                        <w:top w:val="none" w:sz="0" w:space="0" w:color="auto"/>
                        <w:left w:val="none" w:sz="0" w:space="0" w:color="auto"/>
                        <w:bottom w:val="none" w:sz="0" w:space="0" w:color="auto"/>
                        <w:right w:val="none" w:sz="0" w:space="0" w:color="auto"/>
                      </w:divBdr>
                    </w:div>
                  </w:divsChild>
                </w:div>
                <w:div w:id="767234403">
                  <w:marLeft w:val="0"/>
                  <w:marRight w:val="0"/>
                  <w:marTop w:val="0"/>
                  <w:marBottom w:val="0"/>
                  <w:divBdr>
                    <w:top w:val="none" w:sz="0" w:space="0" w:color="auto"/>
                    <w:left w:val="none" w:sz="0" w:space="0" w:color="auto"/>
                    <w:bottom w:val="none" w:sz="0" w:space="0" w:color="auto"/>
                    <w:right w:val="none" w:sz="0" w:space="0" w:color="auto"/>
                  </w:divBdr>
                  <w:divsChild>
                    <w:div w:id="566767520">
                      <w:marLeft w:val="0"/>
                      <w:marRight w:val="0"/>
                      <w:marTop w:val="0"/>
                      <w:marBottom w:val="0"/>
                      <w:divBdr>
                        <w:top w:val="none" w:sz="0" w:space="0" w:color="auto"/>
                        <w:left w:val="none" w:sz="0" w:space="0" w:color="auto"/>
                        <w:bottom w:val="none" w:sz="0" w:space="0" w:color="auto"/>
                        <w:right w:val="none" w:sz="0" w:space="0" w:color="auto"/>
                      </w:divBdr>
                    </w:div>
                  </w:divsChild>
                </w:div>
                <w:div w:id="65348846">
                  <w:marLeft w:val="0"/>
                  <w:marRight w:val="0"/>
                  <w:marTop w:val="0"/>
                  <w:marBottom w:val="0"/>
                  <w:divBdr>
                    <w:top w:val="none" w:sz="0" w:space="0" w:color="auto"/>
                    <w:left w:val="none" w:sz="0" w:space="0" w:color="auto"/>
                    <w:bottom w:val="none" w:sz="0" w:space="0" w:color="auto"/>
                    <w:right w:val="none" w:sz="0" w:space="0" w:color="auto"/>
                  </w:divBdr>
                  <w:divsChild>
                    <w:div w:id="65732711">
                      <w:marLeft w:val="0"/>
                      <w:marRight w:val="0"/>
                      <w:marTop w:val="0"/>
                      <w:marBottom w:val="0"/>
                      <w:divBdr>
                        <w:top w:val="none" w:sz="0" w:space="0" w:color="auto"/>
                        <w:left w:val="none" w:sz="0" w:space="0" w:color="auto"/>
                        <w:bottom w:val="none" w:sz="0" w:space="0" w:color="auto"/>
                        <w:right w:val="none" w:sz="0" w:space="0" w:color="auto"/>
                      </w:divBdr>
                    </w:div>
                  </w:divsChild>
                </w:div>
                <w:div w:id="356128730">
                  <w:marLeft w:val="0"/>
                  <w:marRight w:val="0"/>
                  <w:marTop w:val="0"/>
                  <w:marBottom w:val="0"/>
                  <w:divBdr>
                    <w:top w:val="none" w:sz="0" w:space="0" w:color="auto"/>
                    <w:left w:val="none" w:sz="0" w:space="0" w:color="auto"/>
                    <w:bottom w:val="none" w:sz="0" w:space="0" w:color="auto"/>
                    <w:right w:val="none" w:sz="0" w:space="0" w:color="auto"/>
                  </w:divBdr>
                  <w:divsChild>
                    <w:div w:id="1226528991">
                      <w:marLeft w:val="0"/>
                      <w:marRight w:val="0"/>
                      <w:marTop w:val="0"/>
                      <w:marBottom w:val="0"/>
                      <w:divBdr>
                        <w:top w:val="none" w:sz="0" w:space="0" w:color="auto"/>
                        <w:left w:val="none" w:sz="0" w:space="0" w:color="auto"/>
                        <w:bottom w:val="none" w:sz="0" w:space="0" w:color="auto"/>
                        <w:right w:val="none" w:sz="0" w:space="0" w:color="auto"/>
                      </w:divBdr>
                    </w:div>
                  </w:divsChild>
                </w:div>
                <w:div w:id="262079483">
                  <w:marLeft w:val="0"/>
                  <w:marRight w:val="0"/>
                  <w:marTop w:val="0"/>
                  <w:marBottom w:val="0"/>
                  <w:divBdr>
                    <w:top w:val="none" w:sz="0" w:space="0" w:color="auto"/>
                    <w:left w:val="none" w:sz="0" w:space="0" w:color="auto"/>
                    <w:bottom w:val="none" w:sz="0" w:space="0" w:color="auto"/>
                    <w:right w:val="none" w:sz="0" w:space="0" w:color="auto"/>
                  </w:divBdr>
                  <w:divsChild>
                    <w:div w:id="662776568">
                      <w:marLeft w:val="0"/>
                      <w:marRight w:val="0"/>
                      <w:marTop w:val="0"/>
                      <w:marBottom w:val="0"/>
                      <w:divBdr>
                        <w:top w:val="none" w:sz="0" w:space="0" w:color="auto"/>
                        <w:left w:val="none" w:sz="0" w:space="0" w:color="auto"/>
                        <w:bottom w:val="none" w:sz="0" w:space="0" w:color="auto"/>
                        <w:right w:val="none" w:sz="0" w:space="0" w:color="auto"/>
                      </w:divBdr>
                    </w:div>
                  </w:divsChild>
                </w:div>
                <w:div w:id="167210575">
                  <w:marLeft w:val="0"/>
                  <w:marRight w:val="0"/>
                  <w:marTop w:val="0"/>
                  <w:marBottom w:val="0"/>
                  <w:divBdr>
                    <w:top w:val="none" w:sz="0" w:space="0" w:color="auto"/>
                    <w:left w:val="none" w:sz="0" w:space="0" w:color="auto"/>
                    <w:bottom w:val="none" w:sz="0" w:space="0" w:color="auto"/>
                    <w:right w:val="none" w:sz="0" w:space="0" w:color="auto"/>
                  </w:divBdr>
                  <w:divsChild>
                    <w:div w:id="1194687353">
                      <w:marLeft w:val="0"/>
                      <w:marRight w:val="0"/>
                      <w:marTop w:val="0"/>
                      <w:marBottom w:val="0"/>
                      <w:divBdr>
                        <w:top w:val="none" w:sz="0" w:space="0" w:color="auto"/>
                        <w:left w:val="none" w:sz="0" w:space="0" w:color="auto"/>
                        <w:bottom w:val="none" w:sz="0" w:space="0" w:color="auto"/>
                        <w:right w:val="none" w:sz="0" w:space="0" w:color="auto"/>
                      </w:divBdr>
                    </w:div>
                  </w:divsChild>
                </w:div>
                <w:div w:id="1806118543">
                  <w:marLeft w:val="0"/>
                  <w:marRight w:val="0"/>
                  <w:marTop w:val="0"/>
                  <w:marBottom w:val="0"/>
                  <w:divBdr>
                    <w:top w:val="none" w:sz="0" w:space="0" w:color="auto"/>
                    <w:left w:val="none" w:sz="0" w:space="0" w:color="auto"/>
                    <w:bottom w:val="none" w:sz="0" w:space="0" w:color="auto"/>
                    <w:right w:val="none" w:sz="0" w:space="0" w:color="auto"/>
                  </w:divBdr>
                  <w:divsChild>
                    <w:div w:id="1809278659">
                      <w:marLeft w:val="0"/>
                      <w:marRight w:val="0"/>
                      <w:marTop w:val="0"/>
                      <w:marBottom w:val="0"/>
                      <w:divBdr>
                        <w:top w:val="none" w:sz="0" w:space="0" w:color="auto"/>
                        <w:left w:val="none" w:sz="0" w:space="0" w:color="auto"/>
                        <w:bottom w:val="none" w:sz="0" w:space="0" w:color="auto"/>
                        <w:right w:val="none" w:sz="0" w:space="0" w:color="auto"/>
                      </w:divBdr>
                    </w:div>
                  </w:divsChild>
                </w:div>
                <w:div w:id="687176393">
                  <w:marLeft w:val="0"/>
                  <w:marRight w:val="0"/>
                  <w:marTop w:val="0"/>
                  <w:marBottom w:val="0"/>
                  <w:divBdr>
                    <w:top w:val="none" w:sz="0" w:space="0" w:color="auto"/>
                    <w:left w:val="none" w:sz="0" w:space="0" w:color="auto"/>
                    <w:bottom w:val="none" w:sz="0" w:space="0" w:color="auto"/>
                    <w:right w:val="none" w:sz="0" w:space="0" w:color="auto"/>
                  </w:divBdr>
                  <w:divsChild>
                    <w:div w:id="92067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222393">
          <w:marLeft w:val="0"/>
          <w:marRight w:val="0"/>
          <w:marTop w:val="0"/>
          <w:marBottom w:val="0"/>
          <w:divBdr>
            <w:top w:val="none" w:sz="0" w:space="0" w:color="auto"/>
            <w:left w:val="none" w:sz="0" w:space="0" w:color="auto"/>
            <w:bottom w:val="none" w:sz="0" w:space="0" w:color="auto"/>
            <w:right w:val="none" w:sz="0" w:space="0" w:color="auto"/>
          </w:divBdr>
        </w:div>
        <w:div w:id="543297295">
          <w:marLeft w:val="0"/>
          <w:marRight w:val="0"/>
          <w:marTop w:val="0"/>
          <w:marBottom w:val="0"/>
          <w:divBdr>
            <w:top w:val="none" w:sz="0" w:space="0" w:color="auto"/>
            <w:left w:val="none" w:sz="0" w:space="0" w:color="auto"/>
            <w:bottom w:val="none" w:sz="0" w:space="0" w:color="auto"/>
            <w:right w:val="none" w:sz="0" w:space="0" w:color="auto"/>
          </w:divBdr>
        </w:div>
        <w:div w:id="1016350852">
          <w:marLeft w:val="0"/>
          <w:marRight w:val="0"/>
          <w:marTop w:val="0"/>
          <w:marBottom w:val="0"/>
          <w:divBdr>
            <w:top w:val="none" w:sz="0" w:space="0" w:color="auto"/>
            <w:left w:val="none" w:sz="0" w:space="0" w:color="auto"/>
            <w:bottom w:val="none" w:sz="0" w:space="0" w:color="auto"/>
            <w:right w:val="none" w:sz="0" w:space="0" w:color="auto"/>
          </w:divBdr>
        </w:div>
        <w:div w:id="296302798">
          <w:marLeft w:val="0"/>
          <w:marRight w:val="0"/>
          <w:marTop w:val="0"/>
          <w:marBottom w:val="0"/>
          <w:divBdr>
            <w:top w:val="none" w:sz="0" w:space="0" w:color="auto"/>
            <w:left w:val="none" w:sz="0" w:space="0" w:color="auto"/>
            <w:bottom w:val="none" w:sz="0" w:space="0" w:color="auto"/>
            <w:right w:val="none" w:sz="0" w:space="0" w:color="auto"/>
          </w:divBdr>
        </w:div>
        <w:div w:id="1258560860">
          <w:marLeft w:val="0"/>
          <w:marRight w:val="0"/>
          <w:marTop w:val="0"/>
          <w:marBottom w:val="0"/>
          <w:divBdr>
            <w:top w:val="none" w:sz="0" w:space="0" w:color="auto"/>
            <w:left w:val="none" w:sz="0" w:space="0" w:color="auto"/>
            <w:bottom w:val="none" w:sz="0" w:space="0" w:color="auto"/>
            <w:right w:val="none" w:sz="0" w:space="0" w:color="auto"/>
          </w:divBdr>
        </w:div>
        <w:div w:id="360668546">
          <w:marLeft w:val="0"/>
          <w:marRight w:val="0"/>
          <w:marTop w:val="0"/>
          <w:marBottom w:val="0"/>
          <w:divBdr>
            <w:top w:val="none" w:sz="0" w:space="0" w:color="auto"/>
            <w:left w:val="none" w:sz="0" w:space="0" w:color="auto"/>
            <w:bottom w:val="none" w:sz="0" w:space="0" w:color="auto"/>
            <w:right w:val="none" w:sz="0" w:space="0" w:color="auto"/>
          </w:divBdr>
          <w:divsChild>
            <w:div w:id="1635602695">
              <w:marLeft w:val="-75"/>
              <w:marRight w:val="0"/>
              <w:marTop w:val="30"/>
              <w:marBottom w:val="30"/>
              <w:divBdr>
                <w:top w:val="none" w:sz="0" w:space="0" w:color="auto"/>
                <w:left w:val="none" w:sz="0" w:space="0" w:color="auto"/>
                <w:bottom w:val="none" w:sz="0" w:space="0" w:color="auto"/>
                <w:right w:val="none" w:sz="0" w:space="0" w:color="auto"/>
              </w:divBdr>
              <w:divsChild>
                <w:div w:id="264656599">
                  <w:marLeft w:val="0"/>
                  <w:marRight w:val="0"/>
                  <w:marTop w:val="0"/>
                  <w:marBottom w:val="0"/>
                  <w:divBdr>
                    <w:top w:val="none" w:sz="0" w:space="0" w:color="auto"/>
                    <w:left w:val="none" w:sz="0" w:space="0" w:color="auto"/>
                    <w:bottom w:val="none" w:sz="0" w:space="0" w:color="auto"/>
                    <w:right w:val="none" w:sz="0" w:space="0" w:color="auto"/>
                  </w:divBdr>
                  <w:divsChild>
                    <w:div w:id="1920560613">
                      <w:marLeft w:val="0"/>
                      <w:marRight w:val="0"/>
                      <w:marTop w:val="0"/>
                      <w:marBottom w:val="0"/>
                      <w:divBdr>
                        <w:top w:val="none" w:sz="0" w:space="0" w:color="auto"/>
                        <w:left w:val="none" w:sz="0" w:space="0" w:color="auto"/>
                        <w:bottom w:val="none" w:sz="0" w:space="0" w:color="auto"/>
                        <w:right w:val="none" w:sz="0" w:space="0" w:color="auto"/>
                      </w:divBdr>
                    </w:div>
                  </w:divsChild>
                </w:div>
                <w:div w:id="819617953">
                  <w:marLeft w:val="0"/>
                  <w:marRight w:val="0"/>
                  <w:marTop w:val="0"/>
                  <w:marBottom w:val="0"/>
                  <w:divBdr>
                    <w:top w:val="none" w:sz="0" w:space="0" w:color="auto"/>
                    <w:left w:val="none" w:sz="0" w:space="0" w:color="auto"/>
                    <w:bottom w:val="none" w:sz="0" w:space="0" w:color="auto"/>
                    <w:right w:val="none" w:sz="0" w:space="0" w:color="auto"/>
                  </w:divBdr>
                  <w:divsChild>
                    <w:div w:id="147136288">
                      <w:marLeft w:val="0"/>
                      <w:marRight w:val="0"/>
                      <w:marTop w:val="0"/>
                      <w:marBottom w:val="0"/>
                      <w:divBdr>
                        <w:top w:val="none" w:sz="0" w:space="0" w:color="auto"/>
                        <w:left w:val="none" w:sz="0" w:space="0" w:color="auto"/>
                        <w:bottom w:val="none" w:sz="0" w:space="0" w:color="auto"/>
                        <w:right w:val="none" w:sz="0" w:space="0" w:color="auto"/>
                      </w:divBdr>
                    </w:div>
                  </w:divsChild>
                </w:div>
                <w:div w:id="604340121">
                  <w:marLeft w:val="0"/>
                  <w:marRight w:val="0"/>
                  <w:marTop w:val="0"/>
                  <w:marBottom w:val="0"/>
                  <w:divBdr>
                    <w:top w:val="none" w:sz="0" w:space="0" w:color="auto"/>
                    <w:left w:val="none" w:sz="0" w:space="0" w:color="auto"/>
                    <w:bottom w:val="none" w:sz="0" w:space="0" w:color="auto"/>
                    <w:right w:val="none" w:sz="0" w:space="0" w:color="auto"/>
                  </w:divBdr>
                  <w:divsChild>
                    <w:div w:id="898056958">
                      <w:marLeft w:val="0"/>
                      <w:marRight w:val="0"/>
                      <w:marTop w:val="0"/>
                      <w:marBottom w:val="0"/>
                      <w:divBdr>
                        <w:top w:val="none" w:sz="0" w:space="0" w:color="auto"/>
                        <w:left w:val="none" w:sz="0" w:space="0" w:color="auto"/>
                        <w:bottom w:val="none" w:sz="0" w:space="0" w:color="auto"/>
                        <w:right w:val="none" w:sz="0" w:space="0" w:color="auto"/>
                      </w:divBdr>
                    </w:div>
                  </w:divsChild>
                </w:div>
                <w:div w:id="1238589726">
                  <w:marLeft w:val="0"/>
                  <w:marRight w:val="0"/>
                  <w:marTop w:val="0"/>
                  <w:marBottom w:val="0"/>
                  <w:divBdr>
                    <w:top w:val="none" w:sz="0" w:space="0" w:color="auto"/>
                    <w:left w:val="none" w:sz="0" w:space="0" w:color="auto"/>
                    <w:bottom w:val="none" w:sz="0" w:space="0" w:color="auto"/>
                    <w:right w:val="none" w:sz="0" w:space="0" w:color="auto"/>
                  </w:divBdr>
                  <w:divsChild>
                    <w:div w:id="1032918640">
                      <w:marLeft w:val="0"/>
                      <w:marRight w:val="0"/>
                      <w:marTop w:val="0"/>
                      <w:marBottom w:val="0"/>
                      <w:divBdr>
                        <w:top w:val="none" w:sz="0" w:space="0" w:color="auto"/>
                        <w:left w:val="none" w:sz="0" w:space="0" w:color="auto"/>
                        <w:bottom w:val="none" w:sz="0" w:space="0" w:color="auto"/>
                        <w:right w:val="none" w:sz="0" w:space="0" w:color="auto"/>
                      </w:divBdr>
                    </w:div>
                  </w:divsChild>
                </w:div>
                <w:div w:id="2099130693">
                  <w:marLeft w:val="0"/>
                  <w:marRight w:val="0"/>
                  <w:marTop w:val="0"/>
                  <w:marBottom w:val="0"/>
                  <w:divBdr>
                    <w:top w:val="none" w:sz="0" w:space="0" w:color="auto"/>
                    <w:left w:val="none" w:sz="0" w:space="0" w:color="auto"/>
                    <w:bottom w:val="none" w:sz="0" w:space="0" w:color="auto"/>
                    <w:right w:val="none" w:sz="0" w:space="0" w:color="auto"/>
                  </w:divBdr>
                  <w:divsChild>
                    <w:div w:id="1608612335">
                      <w:marLeft w:val="0"/>
                      <w:marRight w:val="0"/>
                      <w:marTop w:val="0"/>
                      <w:marBottom w:val="0"/>
                      <w:divBdr>
                        <w:top w:val="none" w:sz="0" w:space="0" w:color="auto"/>
                        <w:left w:val="none" w:sz="0" w:space="0" w:color="auto"/>
                        <w:bottom w:val="none" w:sz="0" w:space="0" w:color="auto"/>
                        <w:right w:val="none" w:sz="0" w:space="0" w:color="auto"/>
                      </w:divBdr>
                    </w:div>
                  </w:divsChild>
                </w:div>
                <w:div w:id="1763066218">
                  <w:marLeft w:val="0"/>
                  <w:marRight w:val="0"/>
                  <w:marTop w:val="0"/>
                  <w:marBottom w:val="0"/>
                  <w:divBdr>
                    <w:top w:val="none" w:sz="0" w:space="0" w:color="auto"/>
                    <w:left w:val="none" w:sz="0" w:space="0" w:color="auto"/>
                    <w:bottom w:val="none" w:sz="0" w:space="0" w:color="auto"/>
                    <w:right w:val="none" w:sz="0" w:space="0" w:color="auto"/>
                  </w:divBdr>
                  <w:divsChild>
                    <w:div w:id="871192228">
                      <w:marLeft w:val="0"/>
                      <w:marRight w:val="0"/>
                      <w:marTop w:val="0"/>
                      <w:marBottom w:val="0"/>
                      <w:divBdr>
                        <w:top w:val="none" w:sz="0" w:space="0" w:color="auto"/>
                        <w:left w:val="none" w:sz="0" w:space="0" w:color="auto"/>
                        <w:bottom w:val="none" w:sz="0" w:space="0" w:color="auto"/>
                        <w:right w:val="none" w:sz="0" w:space="0" w:color="auto"/>
                      </w:divBdr>
                    </w:div>
                  </w:divsChild>
                </w:div>
                <w:div w:id="1258828605">
                  <w:marLeft w:val="0"/>
                  <w:marRight w:val="0"/>
                  <w:marTop w:val="0"/>
                  <w:marBottom w:val="0"/>
                  <w:divBdr>
                    <w:top w:val="none" w:sz="0" w:space="0" w:color="auto"/>
                    <w:left w:val="none" w:sz="0" w:space="0" w:color="auto"/>
                    <w:bottom w:val="none" w:sz="0" w:space="0" w:color="auto"/>
                    <w:right w:val="none" w:sz="0" w:space="0" w:color="auto"/>
                  </w:divBdr>
                  <w:divsChild>
                    <w:div w:id="406609168">
                      <w:marLeft w:val="0"/>
                      <w:marRight w:val="0"/>
                      <w:marTop w:val="0"/>
                      <w:marBottom w:val="0"/>
                      <w:divBdr>
                        <w:top w:val="none" w:sz="0" w:space="0" w:color="auto"/>
                        <w:left w:val="none" w:sz="0" w:space="0" w:color="auto"/>
                        <w:bottom w:val="none" w:sz="0" w:space="0" w:color="auto"/>
                        <w:right w:val="none" w:sz="0" w:space="0" w:color="auto"/>
                      </w:divBdr>
                    </w:div>
                  </w:divsChild>
                </w:div>
                <w:div w:id="468323159">
                  <w:marLeft w:val="0"/>
                  <w:marRight w:val="0"/>
                  <w:marTop w:val="0"/>
                  <w:marBottom w:val="0"/>
                  <w:divBdr>
                    <w:top w:val="none" w:sz="0" w:space="0" w:color="auto"/>
                    <w:left w:val="none" w:sz="0" w:space="0" w:color="auto"/>
                    <w:bottom w:val="none" w:sz="0" w:space="0" w:color="auto"/>
                    <w:right w:val="none" w:sz="0" w:space="0" w:color="auto"/>
                  </w:divBdr>
                  <w:divsChild>
                    <w:div w:id="899903189">
                      <w:marLeft w:val="0"/>
                      <w:marRight w:val="0"/>
                      <w:marTop w:val="0"/>
                      <w:marBottom w:val="0"/>
                      <w:divBdr>
                        <w:top w:val="none" w:sz="0" w:space="0" w:color="auto"/>
                        <w:left w:val="none" w:sz="0" w:space="0" w:color="auto"/>
                        <w:bottom w:val="none" w:sz="0" w:space="0" w:color="auto"/>
                        <w:right w:val="none" w:sz="0" w:space="0" w:color="auto"/>
                      </w:divBdr>
                    </w:div>
                  </w:divsChild>
                </w:div>
                <w:div w:id="304706757">
                  <w:marLeft w:val="0"/>
                  <w:marRight w:val="0"/>
                  <w:marTop w:val="0"/>
                  <w:marBottom w:val="0"/>
                  <w:divBdr>
                    <w:top w:val="none" w:sz="0" w:space="0" w:color="auto"/>
                    <w:left w:val="none" w:sz="0" w:space="0" w:color="auto"/>
                    <w:bottom w:val="none" w:sz="0" w:space="0" w:color="auto"/>
                    <w:right w:val="none" w:sz="0" w:space="0" w:color="auto"/>
                  </w:divBdr>
                  <w:divsChild>
                    <w:div w:id="346181561">
                      <w:marLeft w:val="0"/>
                      <w:marRight w:val="0"/>
                      <w:marTop w:val="0"/>
                      <w:marBottom w:val="0"/>
                      <w:divBdr>
                        <w:top w:val="none" w:sz="0" w:space="0" w:color="auto"/>
                        <w:left w:val="none" w:sz="0" w:space="0" w:color="auto"/>
                        <w:bottom w:val="none" w:sz="0" w:space="0" w:color="auto"/>
                        <w:right w:val="none" w:sz="0" w:space="0" w:color="auto"/>
                      </w:divBdr>
                    </w:div>
                  </w:divsChild>
                </w:div>
                <w:div w:id="28260261">
                  <w:marLeft w:val="0"/>
                  <w:marRight w:val="0"/>
                  <w:marTop w:val="0"/>
                  <w:marBottom w:val="0"/>
                  <w:divBdr>
                    <w:top w:val="none" w:sz="0" w:space="0" w:color="auto"/>
                    <w:left w:val="none" w:sz="0" w:space="0" w:color="auto"/>
                    <w:bottom w:val="none" w:sz="0" w:space="0" w:color="auto"/>
                    <w:right w:val="none" w:sz="0" w:space="0" w:color="auto"/>
                  </w:divBdr>
                  <w:divsChild>
                    <w:div w:id="1510439110">
                      <w:marLeft w:val="0"/>
                      <w:marRight w:val="0"/>
                      <w:marTop w:val="0"/>
                      <w:marBottom w:val="0"/>
                      <w:divBdr>
                        <w:top w:val="none" w:sz="0" w:space="0" w:color="auto"/>
                        <w:left w:val="none" w:sz="0" w:space="0" w:color="auto"/>
                        <w:bottom w:val="none" w:sz="0" w:space="0" w:color="auto"/>
                        <w:right w:val="none" w:sz="0" w:space="0" w:color="auto"/>
                      </w:divBdr>
                    </w:div>
                  </w:divsChild>
                </w:div>
                <w:div w:id="434710566">
                  <w:marLeft w:val="0"/>
                  <w:marRight w:val="0"/>
                  <w:marTop w:val="0"/>
                  <w:marBottom w:val="0"/>
                  <w:divBdr>
                    <w:top w:val="none" w:sz="0" w:space="0" w:color="auto"/>
                    <w:left w:val="none" w:sz="0" w:space="0" w:color="auto"/>
                    <w:bottom w:val="none" w:sz="0" w:space="0" w:color="auto"/>
                    <w:right w:val="none" w:sz="0" w:space="0" w:color="auto"/>
                  </w:divBdr>
                  <w:divsChild>
                    <w:div w:id="1486968979">
                      <w:marLeft w:val="0"/>
                      <w:marRight w:val="0"/>
                      <w:marTop w:val="0"/>
                      <w:marBottom w:val="0"/>
                      <w:divBdr>
                        <w:top w:val="none" w:sz="0" w:space="0" w:color="auto"/>
                        <w:left w:val="none" w:sz="0" w:space="0" w:color="auto"/>
                        <w:bottom w:val="none" w:sz="0" w:space="0" w:color="auto"/>
                        <w:right w:val="none" w:sz="0" w:space="0" w:color="auto"/>
                      </w:divBdr>
                    </w:div>
                  </w:divsChild>
                </w:div>
                <w:div w:id="719205888">
                  <w:marLeft w:val="0"/>
                  <w:marRight w:val="0"/>
                  <w:marTop w:val="0"/>
                  <w:marBottom w:val="0"/>
                  <w:divBdr>
                    <w:top w:val="none" w:sz="0" w:space="0" w:color="auto"/>
                    <w:left w:val="none" w:sz="0" w:space="0" w:color="auto"/>
                    <w:bottom w:val="none" w:sz="0" w:space="0" w:color="auto"/>
                    <w:right w:val="none" w:sz="0" w:space="0" w:color="auto"/>
                  </w:divBdr>
                  <w:divsChild>
                    <w:div w:id="1372727420">
                      <w:marLeft w:val="0"/>
                      <w:marRight w:val="0"/>
                      <w:marTop w:val="0"/>
                      <w:marBottom w:val="0"/>
                      <w:divBdr>
                        <w:top w:val="none" w:sz="0" w:space="0" w:color="auto"/>
                        <w:left w:val="none" w:sz="0" w:space="0" w:color="auto"/>
                        <w:bottom w:val="none" w:sz="0" w:space="0" w:color="auto"/>
                        <w:right w:val="none" w:sz="0" w:space="0" w:color="auto"/>
                      </w:divBdr>
                    </w:div>
                  </w:divsChild>
                </w:div>
                <w:div w:id="1374888525">
                  <w:marLeft w:val="0"/>
                  <w:marRight w:val="0"/>
                  <w:marTop w:val="0"/>
                  <w:marBottom w:val="0"/>
                  <w:divBdr>
                    <w:top w:val="none" w:sz="0" w:space="0" w:color="auto"/>
                    <w:left w:val="none" w:sz="0" w:space="0" w:color="auto"/>
                    <w:bottom w:val="none" w:sz="0" w:space="0" w:color="auto"/>
                    <w:right w:val="none" w:sz="0" w:space="0" w:color="auto"/>
                  </w:divBdr>
                  <w:divsChild>
                    <w:div w:id="1050812677">
                      <w:marLeft w:val="0"/>
                      <w:marRight w:val="0"/>
                      <w:marTop w:val="0"/>
                      <w:marBottom w:val="0"/>
                      <w:divBdr>
                        <w:top w:val="none" w:sz="0" w:space="0" w:color="auto"/>
                        <w:left w:val="none" w:sz="0" w:space="0" w:color="auto"/>
                        <w:bottom w:val="none" w:sz="0" w:space="0" w:color="auto"/>
                        <w:right w:val="none" w:sz="0" w:space="0" w:color="auto"/>
                      </w:divBdr>
                    </w:div>
                  </w:divsChild>
                </w:div>
                <w:div w:id="838153833">
                  <w:marLeft w:val="0"/>
                  <w:marRight w:val="0"/>
                  <w:marTop w:val="0"/>
                  <w:marBottom w:val="0"/>
                  <w:divBdr>
                    <w:top w:val="none" w:sz="0" w:space="0" w:color="auto"/>
                    <w:left w:val="none" w:sz="0" w:space="0" w:color="auto"/>
                    <w:bottom w:val="none" w:sz="0" w:space="0" w:color="auto"/>
                    <w:right w:val="none" w:sz="0" w:space="0" w:color="auto"/>
                  </w:divBdr>
                  <w:divsChild>
                    <w:div w:id="1704672595">
                      <w:marLeft w:val="0"/>
                      <w:marRight w:val="0"/>
                      <w:marTop w:val="0"/>
                      <w:marBottom w:val="0"/>
                      <w:divBdr>
                        <w:top w:val="none" w:sz="0" w:space="0" w:color="auto"/>
                        <w:left w:val="none" w:sz="0" w:space="0" w:color="auto"/>
                        <w:bottom w:val="none" w:sz="0" w:space="0" w:color="auto"/>
                        <w:right w:val="none" w:sz="0" w:space="0" w:color="auto"/>
                      </w:divBdr>
                    </w:div>
                  </w:divsChild>
                </w:div>
                <w:div w:id="1940481189">
                  <w:marLeft w:val="0"/>
                  <w:marRight w:val="0"/>
                  <w:marTop w:val="0"/>
                  <w:marBottom w:val="0"/>
                  <w:divBdr>
                    <w:top w:val="none" w:sz="0" w:space="0" w:color="auto"/>
                    <w:left w:val="none" w:sz="0" w:space="0" w:color="auto"/>
                    <w:bottom w:val="none" w:sz="0" w:space="0" w:color="auto"/>
                    <w:right w:val="none" w:sz="0" w:space="0" w:color="auto"/>
                  </w:divBdr>
                  <w:divsChild>
                    <w:div w:id="1650473180">
                      <w:marLeft w:val="0"/>
                      <w:marRight w:val="0"/>
                      <w:marTop w:val="0"/>
                      <w:marBottom w:val="0"/>
                      <w:divBdr>
                        <w:top w:val="none" w:sz="0" w:space="0" w:color="auto"/>
                        <w:left w:val="none" w:sz="0" w:space="0" w:color="auto"/>
                        <w:bottom w:val="none" w:sz="0" w:space="0" w:color="auto"/>
                        <w:right w:val="none" w:sz="0" w:space="0" w:color="auto"/>
                      </w:divBdr>
                    </w:div>
                  </w:divsChild>
                </w:div>
                <w:div w:id="777407084">
                  <w:marLeft w:val="0"/>
                  <w:marRight w:val="0"/>
                  <w:marTop w:val="0"/>
                  <w:marBottom w:val="0"/>
                  <w:divBdr>
                    <w:top w:val="none" w:sz="0" w:space="0" w:color="auto"/>
                    <w:left w:val="none" w:sz="0" w:space="0" w:color="auto"/>
                    <w:bottom w:val="none" w:sz="0" w:space="0" w:color="auto"/>
                    <w:right w:val="none" w:sz="0" w:space="0" w:color="auto"/>
                  </w:divBdr>
                  <w:divsChild>
                    <w:div w:id="607742404">
                      <w:marLeft w:val="0"/>
                      <w:marRight w:val="0"/>
                      <w:marTop w:val="0"/>
                      <w:marBottom w:val="0"/>
                      <w:divBdr>
                        <w:top w:val="none" w:sz="0" w:space="0" w:color="auto"/>
                        <w:left w:val="none" w:sz="0" w:space="0" w:color="auto"/>
                        <w:bottom w:val="none" w:sz="0" w:space="0" w:color="auto"/>
                        <w:right w:val="none" w:sz="0" w:space="0" w:color="auto"/>
                      </w:divBdr>
                    </w:div>
                  </w:divsChild>
                </w:div>
                <w:div w:id="117534566">
                  <w:marLeft w:val="0"/>
                  <w:marRight w:val="0"/>
                  <w:marTop w:val="0"/>
                  <w:marBottom w:val="0"/>
                  <w:divBdr>
                    <w:top w:val="none" w:sz="0" w:space="0" w:color="auto"/>
                    <w:left w:val="none" w:sz="0" w:space="0" w:color="auto"/>
                    <w:bottom w:val="none" w:sz="0" w:space="0" w:color="auto"/>
                    <w:right w:val="none" w:sz="0" w:space="0" w:color="auto"/>
                  </w:divBdr>
                  <w:divsChild>
                    <w:div w:id="613831326">
                      <w:marLeft w:val="0"/>
                      <w:marRight w:val="0"/>
                      <w:marTop w:val="0"/>
                      <w:marBottom w:val="0"/>
                      <w:divBdr>
                        <w:top w:val="none" w:sz="0" w:space="0" w:color="auto"/>
                        <w:left w:val="none" w:sz="0" w:space="0" w:color="auto"/>
                        <w:bottom w:val="none" w:sz="0" w:space="0" w:color="auto"/>
                        <w:right w:val="none" w:sz="0" w:space="0" w:color="auto"/>
                      </w:divBdr>
                    </w:div>
                  </w:divsChild>
                </w:div>
                <w:div w:id="715154728">
                  <w:marLeft w:val="0"/>
                  <w:marRight w:val="0"/>
                  <w:marTop w:val="0"/>
                  <w:marBottom w:val="0"/>
                  <w:divBdr>
                    <w:top w:val="none" w:sz="0" w:space="0" w:color="auto"/>
                    <w:left w:val="none" w:sz="0" w:space="0" w:color="auto"/>
                    <w:bottom w:val="none" w:sz="0" w:space="0" w:color="auto"/>
                    <w:right w:val="none" w:sz="0" w:space="0" w:color="auto"/>
                  </w:divBdr>
                  <w:divsChild>
                    <w:div w:id="895628283">
                      <w:marLeft w:val="0"/>
                      <w:marRight w:val="0"/>
                      <w:marTop w:val="0"/>
                      <w:marBottom w:val="0"/>
                      <w:divBdr>
                        <w:top w:val="none" w:sz="0" w:space="0" w:color="auto"/>
                        <w:left w:val="none" w:sz="0" w:space="0" w:color="auto"/>
                        <w:bottom w:val="none" w:sz="0" w:space="0" w:color="auto"/>
                        <w:right w:val="none" w:sz="0" w:space="0" w:color="auto"/>
                      </w:divBdr>
                    </w:div>
                  </w:divsChild>
                </w:div>
                <w:div w:id="1838768383">
                  <w:marLeft w:val="0"/>
                  <w:marRight w:val="0"/>
                  <w:marTop w:val="0"/>
                  <w:marBottom w:val="0"/>
                  <w:divBdr>
                    <w:top w:val="none" w:sz="0" w:space="0" w:color="auto"/>
                    <w:left w:val="none" w:sz="0" w:space="0" w:color="auto"/>
                    <w:bottom w:val="none" w:sz="0" w:space="0" w:color="auto"/>
                    <w:right w:val="none" w:sz="0" w:space="0" w:color="auto"/>
                  </w:divBdr>
                  <w:divsChild>
                    <w:div w:id="1225604290">
                      <w:marLeft w:val="0"/>
                      <w:marRight w:val="0"/>
                      <w:marTop w:val="0"/>
                      <w:marBottom w:val="0"/>
                      <w:divBdr>
                        <w:top w:val="none" w:sz="0" w:space="0" w:color="auto"/>
                        <w:left w:val="none" w:sz="0" w:space="0" w:color="auto"/>
                        <w:bottom w:val="none" w:sz="0" w:space="0" w:color="auto"/>
                        <w:right w:val="none" w:sz="0" w:space="0" w:color="auto"/>
                      </w:divBdr>
                    </w:div>
                  </w:divsChild>
                </w:div>
                <w:div w:id="2070110048">
                  <w:marLeft w:val="0"/>
                  <w:marRight w:val="0"/>
                  <w:marTop w:val="0"/>
                  <w:marBottom w:val="0"/>
                  <w:divBdr>
                    <w:top w:val="none" w:sz="0" w:space="0" w:color="auto"/>
                    <w:left w:val="none" w:sz="0" w:space="0" w:color="auto"/>
                    <w:bottom w:val="none" w:sz="0" w:space="0" w:color="auto"/>
                    <w:right w:val="none" w:sz="0" w:space="0" w:color="auto"/>
                  </w:divBdr>
                  <w:divsChild>
                    <w:div w:id="882987964">
                      <w:marLeft w:val="0"/>
                      <w:marRight w:val="0"/>
                      <w:marTop w:val="0"/>
                      <w:marBottom w:val="0"/>
                      <w:divBdr>
                        <w:top w:val="none" w:sz="0" w:space="0" w:color="auto"/>
                        <w:left w:val="none" w:sz="0" w:space="0" w:color="auto"/>
                        <w:bottom w:val="none" w:sz="0" w:space="0" w:color="auto"/>
                        <w:right w:val="none" w:sz="0" w:space="0" w:color="auto"/>
                      </w:divBdr>
                    </w:div>
                  </w:divsChild>
                </w:div>
                <w:div w:id="868876545">
                  <w:marLeft w:val="0"/>
                  <w:marRight w:val="0"/>
                  <w:marTop w:val="0"/>
                  <w:marBottom w:val="0"/>
                  <w:divBdr>
                    <w:top w:val="none" w:sz="0" w:space="0" w:color="auto"/>
                    <w:left w:val="none" w:sz="0" w:space="0" w:color="auto"/>
                    <w:bottom w:val="none" w:sz="0" w:space="0" w:color="auto"/>
                    <w:right w:val="none" w:sz="0" w:space="0" w:color="auto"/>
                  </w:divBdr>
                  <w:divsChild>
                    <w:div w:id="2092116826">
                      <w:marLeft w:val="0"/>
                      <w:marRight w:val="0"/>
                      <w:marTop w:val="0"/>
                      <w:marBottom w:val="0"/>
                      <w:divBdr>
                        <w:top w:val="none" w:sz="0" w:space="0" w:color="auto"/>
                        <w:left w:val="none" w:sz="0" w:space="0" w:color="auto"/>
                        <w:bottom w:val="none" w:sz="0" w:space="0" w:color="auto"/>
                        <w:right w:val="none" w:sz="0" w:space="0" w:color="auto"/>
                      </w:divBdr>
                    </w:div>
                  </w:divsChild>
                </w:div>
                <w:div w:id="106044446">
                  <w:marLeft w:val="0"/>
                  <w:marRight w:val="0"/>
                  <w:marTop w:val="0"/>
                  <w:marBottom w:val="0"/>
                  <w:divBdr>
                    <w:top w:val="none" w:sz="0" w:space="0" w:color="auto"/>
                    <w:left w:val="none" w:sz="0" w:space="0" w:color="auto"/>
                    <w:bottom w:val="none" w:sz="0" w:space="0" w:color="auto"/>
                    <w:right w:val="none" w:sz="0" w:space="0" w:color="auto"/>
                  </w:divBdr>
                  <w:divsChild>
                    <w:div w:id="214850613">
                      <w:marLeft w:val="0"/>
                      <w:marRight w:val="0"/>
                      <w:marTop w:val="0"/>
                      <w:marBottom w:val="0"/>
                      <w:divBdr>
                        <w:top w:val="none" w:sz="0" w:space="0" w:color="auto"/>
                        <w:left w:val="none" w:sz="0" w:space="0" w:color="auto"/>
                        <w:bottom w:val="none" w:sz="0" w:space="0" w:color="auto"/>
                        <w:right w:val="none" w:sz="0" w:space="0" w:color="auto"/>
                      </w:divBdr>
                    </w:div>
                  </w:divsChild>
                </w:div>
                <w:div w:id="108820204">
                  <w:marLeft w:val="0"/>
                  <w:marRight w:val="0"/>
                  <w:marTop w:val="0"/>
                  <w:marBottom w:val="0"/>
                  <w:divBdr>
                    <w:top w:val="none" w:sz="0" w:space="0" w:color="auto"/>
                    <w:left w:val="none" w:sz="0" w:space="0" w:color="auto"/>
                    <w:bottom w:val="none" w:sz="0" w:space="0" w:color="auto"/>
                    <w:right w:val="none" w:sz="0" w:space="0" w:color="auto"/>
                  </w:divBdr>
                  <w:divsChild>
                    <w:div w:id="939875852">
                      <w:marLeft w:val="0"/>
                      <w:marRight w:val="0"/>
                      <w:marTop w:val="0"/>
                      <w:marBottom w:val="0"/>
                      <w:divBdr>
                        <w:top w:val="none" w:sz="0" w:space="0" w:color="auto"/>
                        <w:left w:val="none" w:sz="0" w:space="0" w:color="auto"/>
                        <w:bottom w:val="none" w:sz="0" w:space="0" w:color="auto"/>
                        <w:right w:val="none" w:sz="0" w:space="0" w:color="auto"/>
                      </w:divBdr>
                    </w:div>
                  </w:divsChild>
                </w:div>
                <w:div w:id="1457676107">
                  <w:marLeft w:val="0"/>
                  <w:marRight w:val="0"/>
                  <w:marTop w:val="0"/>
                  <w:marBottom w:val="0"/>
                  <w:divBdr>
                    <w:top w:val="none" w:sz="0" w:space="0" w:color="auto"/>
                    <w:left w:val="none" w:sz="0" w:space="0" w:color="auto"/>
                    <w:bottom w:val="none" w:sz="0" w:space="0" w:color="auto"/>
                    <w:right w:val="none" w:sz="0" w:space="0" w:color="auto"/>
                  </w:divBdr>
                  <w:divsChild>
                    <w:div w:id="189720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100348">
          <w:marLeft w:val="0"/>
          <w:marRight w:val="0"/>
          <w:marTop w:val="0"/>
          <w:marBottom w:val="0"/>
          <w:divBdr>
            <w:top w:val="none" w:sz="0" w:space="0" w:color="auto"/>
            <w:left w:val="none" w:sz="0" w:space="0" w:color="auto"/>
            <w:bottom w:val="none" w:sz="0" w:space="0" w:color="auto"/>
            <w:right w:val="none" w:sz="0" w:space="0" w:color="auto"/>
          </w:divBdr>
        </w:div>
        <w:div w:id="325788598">
          <w:marLeft w:val="0"/>
          <w:marRight w:val="0"/>
          <w:marTop w:val="0"/>
          <w:marBottom w:val="0"/>
          <w:divBdr>
            <w:top w:val="none" w:sz="0" w:space="0" w:color="auto"/>
            <w:left w:val="none" w:sz="0" w:space="0" w:color="auto"/>
            <w:bottom w:val="none" w:sz="0" w:space="0" w:color="auto"/>
            <w:right w:val="none" w:sz="0" w:space="0" w:color="auto"/>
          </w:divBdr>
        </w:div>
        <w:div w:id="444007073">
          <w:marLeft w:val="0"/>
          <w:marRight w:val="0"/>
          <w:marTop w:val="0"/>
          <w:marBottom w:val="0"/>
          <w:divBdr>
            <w:top w:val="none" w:sz="0" w:space="0" w:color="auto"/>
            <w:left w:val="none" w:sz="0" w:space="0" w:color="auto"/>
            <w:bottom w:val="none" w:sz="0" w:space="0" w:color="auto"/>
            <w:right w:val="none" w:sz="0" w:space="0" w:color="auto"/>
          </w:divBdr>
        </w:div>
      </w:divsChild>
    </w:div>
    <w:div w:id="1585644771">
      <w:marLeft w:val="0"/>
      <w:marRight w:val="0"/>
      <w:marTop w:val="0"/>
      <w:marBottom w:val="0"/>
      <w:divBdr>
        <w:top w:val="none" w:sz="0" w:space="0" w:color="auto"/>
        <w:left w:val="none" w:sz="0" w:space="0" w:color="auto"/>
        <w:bottom w:val="none" w:sz="0" w:space="0" w:color="auto"/>
        <w:right w:val="none" w:sz="0" w:space="0" w:color="auto"/>
      </w:divBdr>
      <w:divsChild>
        <w:div w:id="1716351990">
          <w:marLeft w:val="0"/>
          <w:marRight w:val="0"/>
          <w:marTop w:val="0"/>
          <w:marBottom w:val="0"/>
          <w:divBdr>
            <w:top w:val="none" w:sz="0" w:space="0" w:color="auto"/>
            <w:left w:val="none" w:sz="0" w:space="0" w:color="auto"/>
            <w:bottom w:val="none" w:sz="0" w:space="0" w:color="auto"/>
            <w:right w:val="none" w:sz="0" w:space="0" w:color="auto"/>
          </w:divBdr>
        </w:div>
      </w:divsChild>
    </w:div>
    <w:div w:id="1621306248">
      <w:marLeft w:val="0"/>
      <w:marRight w:val="0"/>
      <w:marTop w:val="0"/>
      <w:marBottom w:val="0"/>
      <w:divBdr>
        <w:top w:val="none" w:sz="0" w:space="0" w:color="auto"/>
        <w:left w:val="none" w:sz="0" w:space="0" w:color="auto"/>
        <w:bottom w:val="none" w:sz="0" w:space="0" w:color="auto"/>
        <w:right w:val="none" w:sz="0" w:space="0" w:color="auto"/>
      </w:divBdr>
      <w:divsChild>
        <w:div w:id="1887600077">
          <w:marLeft w:val="0"/>
          <w:marRight w:val="0"/>
          <w:marTop w:val="0"/>
          <w:marBottom w:val="0"/>
          <w:divBdr>
            <w:top w:val="none" w:sz="0" w:space="0" w:color="auto"/>
            <w:left w:val="none" w:sz="0" w:space="0" w:color="auto"/>
            <w:bottom w:val="none" w:sz="0" w:space="0" w:color="auto"/>
            <w:right w:val="none" w:sz="0" w:space="0" w:color="auto"/>
          </w:divBdr>
        </w:div>
      </w:divsChild>
    </w:div>
    <w:div w:id="1635284856">
      <w:marLeft w:val="0"/>
      <w:marRight w:val="0"/>
      <w:marTop w:val="0"/>
      <w:marBottom w:val="0"/>
      <w:divBdr>
        <w:top w:val="none" w:sz="0" w:space="0" w:color="auto"/>
        <w:left w:val="none" w:sz="0" w:space="0" w:color="auto"/>
        <w:bottom w:val="none" w:sz="0" w:space="0" w:color="auto"/>
        <w:right w:val="none" w:sz="0" w:space="0" w:color="auto"/>
      </w:divBdr>
      <w:divsChild>
        <w:div w:id="1406411527">
          <w:marLeft w:val="0"/>
          <w:marRight w:val="0"/>
          <w:marTop w:val="0"/>
          <w:marBottom w:val="0"/>
          <w:divBdr>
            <w:top w:val="none" w:sz="0" w:space="0" w:color="auto"/>
            <w:left w:val="none" w:sz="0" w:space="0" w:color="auto"/>
            <w:bottom w:val="none" w:sz="0" w:space="0" w:color="auto"/>
            <w:right w:val="none" w:sz="0" w:space="0" w:color="auto"/>
          </w:divBdr>
        </w:div>
      </w:divsChild>
    </w:div>
    <w:div w:id="1674719761">
      <w:marLeft w:val="0"/>
      <w:marRight w:val="0"/>
      <w:marTop w:val="0"/>
      <w:marBottom w:val="0"/>
      <w:divBdr>
        <w:top w:val="none" w:sz="0" w:space="0" w:color="auto"/>
        <w:left w:val="none" w:sz="0" w:space="0" w:color="auto"/>
        <w:bottom w:val="none" w:sz="0" w:space="0" w:color="auto"/>
        <w:right w:val="none" w:sz="0" w:space="0" w:color="auto"/>
      </w:divBdr>
      <w:divsChild>
        <w:div w:id="1113473925">
          <w:marLeft w:val="0"/>
          <w:marRight w:val="0"/>
          <w:marTop w:val="0"/>
          <w:marBottom w:val="0"/>
          <w:divBdr>
            <w:top w:val="none" w:sz="0" w:space="0" w:color="auto"/>
            <w:left w:val="none" w:sz="0" w:space="0" w:color="auto"/>
            <w:bottom w:val="none" w:sz="0" w:space="0" w:color="auto"/>
            <w:right w:val="none" w:sz="0" w:space="0" w:color="auto"/>
          </w:divBdr>
        </w:div>
      </w:divsChild>
    </w:div>
    <w:div w:id="1678532277">
      <w:marLeft w:val="0"/>
      <w:marRight w:val="0"/>
      <w:marTop w:val="0"/>
      <w:marBottom w:val="0"/>
      <w:divBdr>
        <w:top w:val="none" w:sz="0" w:space="0" w:color="auto"/>
        <w:left w:val="none" w:sz="0" w:space="0" w:color="auto"/>
        <w:bottom w:val="none" w:sz="0" w:space="0" w:color="auto"/>
        <w:right w:val="none" w:sz="0" w:space="0" w:color="auto"/>
      </w:divBdr>
      <w:divsChild>
        <w:div w:id="402338819">
          <w:marLeft w:val="0"/>
          <w:marRight w:val="0"/>
          <w:marTop w:val="0"/>
          <w:marBottom w:val="0"/>
          <w:divBdr>
            <w:top w:val="none" w:sz="0" w:space="0" w:color="auto"/>
            <w:left w:val="none" w:sz="0" w:space="0" w:color="auto"/>
            <w:bottom w:val="none" w:sz="0" w:space="0" w:color="auto"/>
            <w:right w:val="none" w:sz="0" w:space="0" w:color="auto"/>
          </w:divBdr>
        </w:div>
      </w:divsChild>
    </w:div>
    <w:div w:id="1710490789">
      <w:marLeft w:val="0"/>
      <w:marRight w:val="0"/>
      <w:marTop w:val="0"/>
      <w:marBottom w:val="0"/>
      <w:divBdr>
        <w:top w:val="none" w:sz="0" w:space="0" w:color="auto"/>
        <w:left w:val="none" w:sz="0" w:space="0" w:color="auto"/>
        <w:bottom w:val="none" w:sz="0" w:space="0" w:color="auto"/>
        <w:right w:val="none" w:sz="0" w:space="0" w:color="auto"/>
      </w:divBdr>
      <w:divsChild>
        <w:div w:id="1960800026">
          <w:marLeft w:val="0"/>
          <w:marRight w:val="0"/>
          <w:marTop w:val="0"/>
          <w:marBottom w:val="0"/>
          <w:divBdr>
            <w:top w:val="none" w:sz="0" w:space="0" w:color="auto"/>
            <w:left w:val="none" w:sz="0" w:space="0" w:color="auto"/>
            <w:bottom w:val="none" w:sz="0" w:space="0" w:color="auto"/>
            <w:right w:val="none" w:sz="0" w:space="0" w:color="auto"/>
          </w:divBdr>
        </w:div>
      </w:divsChild>
    </w:div>
    <w:div w:id="1713454104">
      <w:marLeft w:val="0"/>
      <w:marRight w:val="0"/>
      <w:marTop w:val="0"/>
      <w:marBottom w:val="0"/>
      <w:divBdr>
        <w:top w:val="none" w:sz="0" w:space="0" w:color="auto"/>
        <w:left w:val="none" w:sz="0" w:space="0" w:color="auto"/>
        <w:bottom w:val="none" w:sz="0" w:space="0" w:color="auto"/>
        <w:right w:val="none" w:sz="0" w:space="0" w:color="auto"/>
      </w:divBdr>
      <w:divsChild>
        <w:div w:id="1471287583">
          <w:marLeft w:val="0"/>
          <w:marRight w:val="0"/>
          <w:marTop w:val="0"/>
          <w:marBottom w:val="0"/>
          <w:divBdr>
            <w:top w:val="none" w:sz="0" w:space="0" w:color="auto"/>
            <w:left w:val="none" w:sz="0" w:space="0" w:color="auto"/>
            <w:bottom w:val="none" w:sz="0" w:space="0" w:color="auto"/>
            <w:right w:val="none" w:sz="0" w:space="0" w:color="auto"/>
          </w:divBdr>
        </w:div>
      </w:divsChild>
    </w:div>
    <w:div w:id="1719620765">
      <w:bodyDiv w:val="1"/>
      <w:marLeft w:val="0"/>
      <w:marRight w:val="0"/>
      <w:marTop w:val="0"/>
      <w:marBottom w:val="0"/>
      <w:divBdr>
        <w:top w:val="none" w:sz="0" w:space="0" w:color="auto"/>
        <w:left w:val="none" w:sz="0" w:space="0" w:color="auto"/>
        <w:bottom w:val="none" w:sz="0" w:space="0" w:color="auto"/>
        <w:right w:val="none" w:sz="0" w:space="0" w:color="auto"/>
      </w:divBdr>
    </w:div>
    <w:div w:id="1721322273">
      <w:marLeft w:val="0"/>
      <w:marRight w:val="0"/>
      <w:marTop w:val="0"/>
      <w:marBottom w:val="0"/>
      <w:divBdr>
        <w:top w:val="none" w:sz="0" w:space="0" w:color="auto"/>
        <w:left w:val="none" w:sz="0" w:space="0" w:color="auto"/>
        <w:bottom w:val="none" w:sz="0" w:space="0" w:color="auto"/>
        <w:right w:val="none" w:sz="0" w:space="0" w:color="auto"/>
      </w:divBdr>
      <w:divsChild>
        <w:div w:id="1683162655">
          <w:marLeft w:val="0"/>
          <w:marRight w:val="0"/>
          <w:marTop w:val="0"/>
          <w:marBottom w:val="0"/>
          <w:divBdr>
            <w:top w:val="none" w:sz="0" w:space="0" w:color="auto"/>
            <w:left w:val="none" w:sz="0" w:space="0" w:color="auto"/>
            <w:bottom w:val="none" w:sz="0" w:space="0" w:color="auto"/>
            <w:right w:val="none" w:sz="0" w:space="0" w:color="auto"/>
          </w:divBdr>
        </w:div>
      </w:divsChild>
    </w:div>
    <w:div w:id="1739941479">
      <w:marLeft w:val="0"/>
      <w:marRight w:val="0"/>
      <w:marTop w:val="0"/>
      <w:marBottom w:val="0"/>
      <w:divBdr>
        <w:top w:val="none" w:sz="0" w:space="0" w:color="auto"/>
        <w:left w:val="none" w:sz="0" w:space="0" w:color="auto"/>
        <w:bottom w:val="none" w:sz="0" w:space="0" w:color="auto"/>
        <w:right w:val="none" w:sz="0" w:space="0" w:color="auto"/>
      </w:divBdr>
      <w:divsChild>
        <w:div w:id="1614945668">
          <w:marLeft w:val="0"/>
          <w:marRight w:val="0"/>
          <w:marTop w:val="0"/>
          <w:marBottom w:val="0"/>
          <w:divBdr>
            <w:top w:val="none" w:sz="0" w:space="0" w:color="auto"/>
            <w:left w:val="none" w:sz="0" w:space="0" w:color="auto"/>
            <w:bottom w:val="none" w:sz="0" w:space="0" w:color="auto"/>
            <w:right w:val="none" w:sz="0" w:space="0" w:color="auto"/>
          </w:divBdr>
        </w:div>
      </w:divsChild>
    </w:div>
    <w:div w:id="1755978034">
      <w:marLeft w:val="0"/>
      <w:marRight w:val="0"/>
      <w:marTop w:val="0"/>
      <w:marBottom w:val="0"/>
      <w:divBdr>
        <w:top w:val="none" w:sz="0" w:space="0" w:color="auto"/>
        <w:left w:val="none" w:sz="0" w:space="0" w:color="auto"/>
        <w:bottom w:val="none" w:sz="0" w:space="0" w:color="auto"/>
        <w:right w:val="none" w:sz="0" w:space="0" w:color="auto"/>
      </w:divBdr>
      <w:divsChild>
        <w:div w:id="1580366612">
          <w:marLeft w:val="0"/>
          <w:marRight w:val="0"/>
          <w:marTop w:val="0"/>
          <w:marBottom w:val="0"/>
          <w:divBdr>
            <w:top w:val="none" w:sz="0" w:space="0" w:color="auto"/>
            <w:left w:val="none" w:sz="0" w:space="0" w:color="auto"/>
            <w:bottom w:val="none" w:sz="0" w:space="0" w:color="auto"/>
            <w:right w:val="none" w:sz="0" w:space="0" w:color="auto"/>
          </w:divBdr>
        </w:div>
      </w:divsChild>
    </w:div>
    <w:div w:id="1761561365">
      <w:marLeft w:val="0"/>
      <w:marRight w:val="0"/>
      <w:marTop w:val="0"/>
      <w:marBottom w:val="0"/>
      <w:divBdr>
        <w:top w:val="none" w:sz="0" w:space="0" w:color="auto"/>
        <w:left w:val="none" w:sz="0" w:space="0" w:color="auto"/>
        <w:bottom w:val="none" w:sz="0" w:space="0" w:color="auto"/>
        <w:right w:val="none" w:sz="0" w:space="0" w:color="auto"/>
      </w:divBdr>
      <w:divsChild>
        <w:div w:id="891618010">
          <w:marLeft w:val="0"/>
          <w:marRight w:val="0"/>
          <w:marTop w:val="0"/>
          <w:marBottom w:val="0"/>
          <w:divBdr>
            <w:top w:val="none" w:sz="0" w:space="0" w:color="auto"/>
            <w:left w:val="none" w:sz="0" w:space="0" w:color="auto"/>
            <w:bottom w:val="none" w:sz="0" w:space="0" w:color="auto"/>
            <w:right w:val="none" w:sz="0" w:space="0" w:color="auto"/>
          </w:divBdr>
        </w:div>
      </w:divsChild>
    </w:div>
    <w:div w:id="1766681136">
      <w:marLeft w:val="0"/>
      <w:marRight w:val="0"/>
      <w:marTop w:val="0"/>
      <w:marBottom w:val="0"/>
      <w:divBdr>
        <w:top w:val="none" w:sz="0" w:space="0" w:color="auto"/>
        <w:left w:val="none" w:sz="0" w:space="0" w:color="auto"/>
        <w:bottom w:val="none" w:sz="0" w:space="0" w:color="auto"/>
        <w:right w:val="none" w:sz="0" w:space="0" w:color="auto"/>
      </w:divBdr>
      <w:divsChild>
        <w:div w:id="278755963">
          <w:marLeft w:val="0"/>
          <w:marRight w:val="0"/>
          <w:marTop w:val="0"/>
          <w:marBottom w:val="0"/>
          <w:divBdr>
            <w:top w:val="none" w:sz="0" w:space="0" w:color="auto"/>
            <w:left w:val="none" w:sz="0" w:space="0" w:color="auto"/>
            <w:bottom w:val="none" w:sz="0" w:space="0" w:color="auto"/>
            <w:right w:val="none" w:sz="0" w:space="0" w:color="auto"/>
          </w:divBdr>
        </w:div>
      </w:divsChild>
    </w:div>
    <w:div w:id="1781144210">
      <w:marLeft w:val="0"/>
      <w:marRight w:val="0"/>
      <w:marTop w:val="0"/>
      <w:marBottom w:val="0"/>
      <w:divBdr>
        <w:top w:val="none" w:sz="0" w:space="0" w:color="auto"/>
        <w:left w:val="none" w:sz="0" w:space="0" w:color="auto"/>
        <w:bottom w:val="none" w:sz="0" w:space="0" w:color="auto"/>
        <w:right w:val="none" w:sz="0" w:space="0" w:color="auto"/>
      </w:divBdr>
      <w:divsChild>
        <w:div w:id="1694451486">
          <w:marLeft w:val="0"/>
          <w:marRight w:val="0"/>
          <w:marTop w:val="0"/>
          <w:marBottom w:val="0"/>
          <w:divBdr>
            <w:top w:val="none" w:sz="0" w:space="0" w:color="auto"/>
            <w:left w:val="none" w:sz="0" w:space="0" w:color="auto"/>
            <w:bottom w:val="none" w:sz="0" w:space="0" w:color="auto"/>
            <w:right w:val="none" w:sz="0" w:space="0" w:color="auto"/>
          </w:divBdr>
        </w:div>
      </w:divsChild>
    </w:div>
    <w:div w:id="1782728160">
      <w:bodyDiv w:val="1"/>
      <w:marLeft w:val="0"/>
      <w:marRight w:val="0"/>
      <w:marTop w:val="0"/>
      <w:marBottom w:val="0"/>
      <w:divBdr>
        <w:top w:val="none" w:sz="0" w:space="0" w:color="auto"/>
        <w:left w:val="none" w:sz="0" w:space="0" w:color="auto"/>
        <w:bottom w:val="none" w:sz="0" w:space="0" w:color="auto"/>
        <w:right w:val="none" w:sz="0" w:space="0" w:color="auto"/>
      </w:divBdr>
    </w:div>
    <w:div w:id="1792432052">
      <w:bodyDiv w:val="1"/>
      <w:marLeft w:val="0"/>
      <w:marRight w:val="0"/>
      <w:marTop w:val="0"/>
      <w:marBottom w:val="0"/>
      <w:divBdr>
        <w:top w:val="none" w:sz="0" w:space="0" w:color="auto"/>
        <w:left w:val="none" w:sz="0" w:space="0" w:color="auto"/>
        <w:bottom w:val="none" w:sz="0" w:space="0" w:color="auto"/>
        <w:right w:val="none" w:sz="0" w:space="0" w:color="auto"/>
      </w:divBdr>
    </w:div>
    <w:div w:id="1815755900">
      <w:marLeft w:val="0"/>
      <w:marRight w:val="0"/>
      <w:marTop w:val="0"/>
      <w:marBottom w:val="0"/>
      <w:divBdr>
        <w:top w:val="none" w:sz="0" w:space="0" w:color="auto"/>
        <w:left w:val="none" w:sz="0" w:space="0" w:color="auto"/>
        <w:bottom w:val="none" w:sz="0" w:space="0" w:color="auto"/>
        <w:right w:val="none" w:sz="0" w:space="0" w:color="auto"/>
      </w:divBdr>
      <w:divsChild>
        <w:div w:id="1100493827">
          <w:marLeft w:val="0"/>
          <w:marRight w:val="0"/>
          <w:marTop w:val="0"/>
          <w:marBottom w:val="0"/>
          <w:divBdr>
            <w:top w:val="none" w:sz="0" w:space="0" w:color="auto"/>
            <w:left w:val="none" w:sz="0" w:space="0" w:color="auto"/>
            <w:bottom w:val="none" w:sz="0" w:space="0" w:color="auto"/>
            <w:right w:val="none" w:sz="0" w:space="0" w:color="auto"/>
          </w:divBdr>
        </w:div>
      </w:divsChild>
    </w:div>
    <w:div w:id="1827091382">
      <w:marLeft w:val="0"/>
      <w:marRight w:val="0"/>
      <w:marTop w:val="0"/>
      <w:marBottom w:val="0"/>
      <w:divBdr>
        <w:top w:val="none" w:sz="0" w:space="0" w:color="auto"/>
        <w:left w:val="none" w:sz="0" w:space="0" w:color="auto"/>
        <w:bottom w:val="none" w:sz="0" w:space="0" w:color="auto"/>
        <w:right w:val="none" w:sz="0" w:space="0" w:color="auto"/>
      </w:divBdr>
      <w:divsChild>
        <w:div w:id="1415199714">
          <w:marLeft w:val="0"/>
          <w:marRight w:val="0"/>
          <w:marTop w:val="0"/>
          <w:marBottom w:val="0"/>
          <w:divBdr>
            <w:top w:val="none" w:sz="0" w:space="0" w:color="auto"/>
            <w:left w:val="none" w:sz="0" w:space="0" w:color="auto"/>
            <w:bottom w:val="none" w:sz="0" w:space="0" w:color="auto"/>
            <w:right w:val="none" w:sz="0" w:space="0" w:color="auto"/>
          </w:divBdr>
        </w:div>
      </w:divsChild>
    </w:div>
    <w:div w:id="1834223504">
      <w:marLeft w:val="0"/>
      <w:marRight w:val="0"/>
      <w:marTop w:val="0"/>
      <w:marBottom w:val="0"/>
      <w:divBdr>
        <w:top w:val="none" w:sz="0" w:space="0" w:color="auto"/>
        <w:left w:val="none" w:sz="0" w:space="0" w:color="auto"/>
        <w:bottom w:val="none" w:sz="0" w:space="0" w:color="auto"/>
        <w:right w:val="none" w:sz="0" w:space="0" w:color="auto"/>
      </w:divBdr>
      <w:divsChild>
        <w:div w:id="265233090">
          <w:marLeft w:val="0"/>
          <w:marRight w:val="0"/>
          <w:marTop w:val="0"/>
          <w:marBottom w:val="0"/>
          <w:divBdr>
            <w:top w:val="none" w:sz="0" w:space="0" w:color="auto"/>
            <w:left w:val="none" w:sz="0" w:space="0" w:color="auto"/>
            <w:bottom w:val="none" w:sz="0" w:space="0" w:color="auto"/>
            <w:right w:val="none" w:sz="0" w:space="0" w:color="auto"/>
          </w:divBdr>
        </w:div>
      </w:divsChild>
    </w:div>
    <w:div w:id="1860850488">
      <w:bodyDiv w:val="1"/>
      <w:marLeft w:val="0"/>
      <w:marRight w:val="0"/>
      <w:marTop w:val="0"/>
      <w:marBottom w:val="0"/>
      <w:divBdr>
        <w:top w:val="none" w:sz="0" w:space="0" w:color="auto"/>
        <w:left w:val="none" w:sz="0" w:space="0" w:color="auto"/>
        <w:bottom w:val="none" w:sz="0" w:space="0" w:color="auto"/>
        <w:right w:val="none" w:sz="0" w:space="0" w:color="auto"/>
      </w:divBdr>
      <w:divsChild>
        <w:div w:id="560556915">
          <w:marLeft w:val="0"/>
          <w:marRight w:val="0"/>
          <w:marTop w:val="0"/>
          <w:marBottom w:val="0"/>
          <w:divBdr>
            <w:top w:val="none" w:sz="0" w:space="0" w:color="auto"/>
            <w:left w:val="none" w:sz="0" w:space="0" w:color="auto"/>
            <w:bottom w:val="none" w:sz="0" w:space="0" w:color="auto"/>
            <w:right w:val="none" w:sz="0" w:space="0" w:color="auto"/>
          </w:divBdr>
        </w:div>
        <w:div w:id="719287179">
          <w:marLeft w:val="0"/>
          <w:marRight w:val="0"/>
          <w:marTop w:val="0"/>
          <w:marBottom w:val="0"/>
          <w:divBdr>
            <w:top w:val="none" w:sz="0" w:space="0" w:color="auto"/>
            <w:left w:val="none" w:sz="0" w:space="0" w:color="auto"/>
            <w:bottom w:val="none" w:sz="0" w:space="0" w:color="auto"/>
            <w:right w:val="none" w:sz="0" w:space="0" w:color="auto"/>
          </w:divBdr>
        </w:div>
        <w:div w:id="977613024">
          <w:marLeft w:val="0"/>
          <w:marRight w:val="0"/>
          <w:marTop w:val="0"/>
          <w:marBottom w:val="0"/>
          <w:divBdr>
            <w:top w:val="none" w:sz="0" w:space="0" w:color="auto"/>
            <w:left w:val="none" w:sz="0" w:space="0" w:color="auto"/>
            <w:bottom w:val="none" w:sz="0" w:space="0" w:color="auto"/>
            <w:right w:val="none" w:sz="0" w:space="0" w:color="auto"/>
          </w:divBdr>
        </w:div>
        <w:div w:id="1035010150">
          <w:marLeft w:val="0"/>
          <w:marRight w:val="0"/>
          <w:marTop w:val="0"/>
          <w:marBottom w:val="0"/>
          <w:divBdr>
            <w:top w:val="none" w:sz="0" w:space="0" w:color="auto"/>
            <w:left w:val="none" w:sz="0" w:space="0" w:color="auto"/>
            <w:bottom w:val="none" w:sz="0" w:space="0" w:color="auto"/>
            <w:right w:val="none" w:sz="0" w:space="0" w:color="auto"/>
          </w:divBdr>
        </w:div>
        <w:div w:id="1149323765">
          <w:marLeft w:val="0"/>
          <w:marRight w:val="0"/>
          <w:marTop w:val="0"/>
          <w:marBottom w:val="0"/>
          <w:divBdr>
            <w:top w:val="none" w:sz="0" w:space="0" w:color="auto"/>
            <w:left w:val="none" w:sz="0" w:space="0" w:color="auto"/>
            <w:bottom w:val="none" w:sz="0" w:space="0" w:color="auto"/>
            <w:right w:val="none" w:sz="0" w:space="0" w:color="auto"/>
          </w:divBdr>
        </w:div>
        <w:div w:id="1279338265">
          <w:marLeft w:val="0"/>
          <w:marRight w:val="0"/>
          <w:marTop w:val="0"/>
          <w:marBottom w:val="0"/>
          <w:divBdr>
            <w:top w:val="none" w:sz="0" w:space="0" w:color="auto"/>
            <w:left w:val="none" w:sz="0" w:space="0" w:color="auto"/>
            <w:bottom w:val="none" w:sz="0" w:space="0" w:color="auto"/>
            <w:right w:val="none" w:sz="0" w:space="0" w:color="auto"/>
          </w:divBdr>
        </w:div>
        <w:div w:id="1350134387">
          <w:marLeft w:val="0"/>
          <w:marRight w:val="0"/>
          <w:marTop w:val="0"/>
          <w:marBottom w:val="0"/>
          <w:divBdr>
            <w:top w:val="none" w:sz="0" w:space="0" w:color="auto"/>
            <w:left w:val="none" w:sz="0" w:space="0" w:color="auto"/>
            <w:bottom w:val="none" w:sz="0" w:space="0" w:color="auto"/>
            <w:right w:val="none" w:sz="0" w:space="0" w:color="auto"/>
          </w:divBdr>
        </w:div>
        <w:div w:id="1447390173">
          <w:marLeft w:val="0"/>
          <w:marRight w:val="0"/>
          <w:marTop w:val="0"/>
          <w:marBottom w:val="0"/>
          <w:divBdr>
            <w:top w:val="none" w:sz="0" w:space="0" w:color="auto"/>
            <w:left w:val="none" w:sz="0" w:space="0" w:color="auto"/>
            <w:bottom w:val="none" w:sz="0" w:space="0" w:color="auto"/>
            <w:right w:val="none" w:sz="0" w:space="0" w:color="auto"/>
          </w:divBdr>
        </w:div>
        <w:div w:id="1660845828">
          <w:marLeft w:val="0"/>
          <w:marRight w:val="0"/>
          <w:marTop w:val="0"/>
          <w:marBottom w:val="0"/>
          <w:divBdr>
            <w:top w:val="none" w:sz="0" w:space="0" w:color="auto"/>
            <w:left w:val="none" w:sz="0" w:space="0" w:color="auto"/>
            <w:bottom w:val="none" w:sz="0" w:space="0" w:color="auto"/>
            <w:right w:val="none" w:sz="0" w:space="0" w:color="auto"/>
          </w:divBdr>
        </w:div>
        <w:div w:id="1720396388">
          <w:marLeft w:val="0"/>
          <w:marRight w:val="0"/>
          <w:marTop w:val="0"/>
          <w:marBottom w:val="0"/>
          <w:divBdr>
            <w:top w:val="none" w:sz="0" w:space="0" w:color="auto"/>
            <w:left w:val="none" w:sz="0" w:space="0" w:color="auto"/>
            <w:bottom w:val="none" w:sz="0" w:space="0" w:color="auto"/>
            <w:right w:val="none" w:sz="0" w:space="0" w:color="auto"/>
          </w:divBdr>
        </w:div>
        <w:div w:id="1822694510">
          <w:marLeft w:val="0"/>
          <w:marRight w:val="0"/>
          <w:marTop w:val="0"/>
          <w:marBottom w:val="0"/>
          <w:divBdr>
            <w:top w:val="none" w:sz="0" w:space="0" w:color="auto"/>
            <w:left w:val="none" w:sz="0" w:space="0" w:color="auto"/>
            <w:bottom w:val="none" w:sz="0" w:space="0" w:color="auto"/>
            <w:right w:val="none" w:sz="0" w:space="0" w:color="auto"/>
          </w:divBdr>
        </w:div>
        <w:div w:id="1844976867">
          <w:marLeft w:val="0"/>
          <w:marRight w:val="0"/>
          <w:marTop w:val="0"/>
          <w:marBottom w:val="0"/>
          <w:divBdr>
            <w:top w:val="none" w:sz="0" w:space="0" w:color="auto"/>
            <w:left w:val="none" w:sz="0" w:space="0" w:color="auto"/>
            <w:bottom w:val="none" w:sz="0" w:space="0" w:color="auto"/>
            <w:right w:val="none" w:sz="0" w:space="0" w:color="auto"/>
          </w:divBdr>
        </w:div>
        <w:div w:id="1929925691">
          <w:marLeft w:val="0"/>
          <w:marRight w:val="0"/>
          <w:marTop w:val="0"/>
          <w:marBottom w:val="0"/>
          <w:divBdr>
            <w:top w:val="none" w:sz="0" w:space="0" w:color="auto"/>
            <w:left w:val="none" w:sz="0" w:space="0" w:color="auto"/>
            <w:bottom w:val="none" w:sz="0" w:space="0" w:color="auto"/>
            <w:right w:val="none" w:sz="0" w:space="0" w:color="auto"/>
          </w:divBdr>
        </w:div>
      </w:divsChild>
    </w:div>
    <w:div w:id="1862085320">
      <w:marLeft w:val="0"/>
      <w:marRight w:val="0"/>
      <w:marTop w:val="0"/>
      <w:marBottom w:val="0"/>
      <w:divBdr>
        <w:top w:val="none" w:sz="0" w:space="0" w:color="auto"/>
        <w:left w:val="none" w:sz="0" w:space="0" w:color="auto"/>
        <w:bottom w:val="none" w:sz="0" w:space="0" w:color="auto"/>
        <w:right w:val="none" w:sz="0" w:space="0" w:color="auto"/>
      </w:divBdr>
      <w:divsChild>
        <w:div w:id="87384100">
          <w:marLeft w:val="0"/>
          <w:marRight w:val="0"/>
          <w:marTop w:val="0"/>
          <w:marBottom w:val="0"/>
          <w:divBdr>
            <w:top w:val="none" w:sz="0" w:space="0" w:color="auto"/>
            <w:left w:val="none" w:sz="0" w:space="0" w:color="auto"/>
            <w:bottom w:val="none" w:sz="0" w:space="0" w:color="auto"/>
            <w:right w:val="none" w:sz="0" w:space="0" w:color="auto"/>
          </w:divBdr>
        </w:div>
      </w:divsChild>
    </w:div>
    <w:div w:id="1865634403">
      <w:marLeft w:val="0"/>
      <w:marRight w:val="0"/>
      <w:marTop w:val="0"/>
      <w:marBottom w:val="0"/>
      <w:divBdr>
        <w:top w:val="none" w:sz="0" w:space="0" w:color="auto"/>
        <w:left w:val="none" w:sz="0" w:space="0" w:color="auto"/>
        <w:bottom w:val="none" w:sz="0" w:space="0" w:color="auto"/>
        <w:right w:val="none" w:sz="0" w:space="0" w:color="auto"/>
      </w:divBdr>
      <w:divsChild>
        <w:div w:id="1991010141">
          <w:marLeft w:val="0"/>
          <w:marRight w:val="0"/>
          <w:marTop w:val="0"/>
          <w:marBottom w:val="0"/>
          <w:divBdr>
            <w:top w:val="none" w:sz="0" w:space="0" w:color="auto"/>
            <w:left w:val="none" w:sz="0" w:space="0" w:color="auto"/>
            <w:bottom w:val="none" w:sz="0" w:space="0" w:color="auto"/>
            <w:right w:val="none" w:sz="0" w:space="0" w:color="auto"/>
          </w:divBdr>
        </w:div>
      </w:divsChild>
    </w:div>
    <w:div w:id="1870335487">
      <w:bodyDiv w:val="1"/>
      <w:marLeft w:val="0"/>
      <w:marRight w:val="0"/>
      <w:marTop w:val="0"/>
      <w:marBottom w:val="0"/>
      <w:divBdr>
        <w:top w:val="none" w:sz="0" w:space="0" w:color="auto"/>
        <w:left w:val="none" w:sz="0" w:space="0" w:color="auto"/>
        <w:bottom w:val="none" w:sz="0" w:space="0" w:color="auto"/>
        <w:right w:val="none" w:sz="0" w:space="0" w:color="auto"/>
      </w:divBdr>
    </w:div>
    <w:div w:id="1871912738">
      <w:bodyDiv w:val="1"/>
      <w:marLeft w:val="0"/>
      <w:marRight w:val="0"/>
      <w:marTop w:val="0"/>
      <w:marBottom w:val="0"/>
      <w:divBdr>
        <w:top w:val="none" w:sz="0" w:space="0" w:color="auto"/>
        <w:left w:val="none" w:sz="0" w:space="0" w:color="auto"/>
        <w:bottom w:val="none" w:sz="0" w:space="0" w:color="auto"/>
        <w:right w:val="none" w:sz="0" w:space="0" w:color="auto"/>
      </w:divBdr>
      <w:divsChild>
        <w:div w:id="172033538">
          <w:marLeft w:val="0"/>
          <w:marRight w:val="0"/>
          <w:marTop w:val="0"/>
          <w:marBottom w:val="0"/>
          <w:divBdr>
            <w:top w:val="none" w:sz="0" w:space="0" w:color="auto"/>
            <w:left w:val="none" w:sz="0" w:space="0" w:color="auto"/>
            <w:bottom w:val="none" w:sz="0" w:space="0" w:color="auto"/>
            <w:right w:val="none" w:sz="0" w:space="0" w:color="auto"/>
          </w:divBdr>
        </w:div>
        <w:div w:id="224338973">
          <w:marLeft w:val="0"/>
          <w:marRight w:val="0"/>
          <w:marTop w:val="0"/>
          <w:marBottom w:val="0"/>
          <w:divBdr>
            <w:top w:val="none" w:sz="0" w:space="0" w:color="auto"/>
            <w:left w:val="none" w:sz="0" w:space="0" w:color="auto"/>
            <w:bottom w:val="none" w:sz="0" w:space="0" w:color="auto"/>
            <w:right w:val="none" w:sz="0" w:space="0" w:color="auto"/>
          </w:divBdr>
        </w:div>
        <w:div w:id="231817238">
          <w:marLeft w:val="0"/>
          <w:marRight w:val="0"/>
          <w:marTop w:val="0"/>
          <w:marBottom w:val="0"/>
          <w:divBdr>
            <w:top w:val="none" w:sz="0" w:space="0" w:color="auto"/>
            <w:left w:val="none" w:sz="0" w:space="0" w:color="auto"/>
            <w:bottom w:val="none" w:sz="0" w:space="0" w:color="auto"/>
            <w:right w:val="none" w:sz="0" w:space="0" w:color="auto"/>
          </w:divBdr>
        </w:div>
        <w:div w:id="360396883">
          <w:marLeft w:val="0"/>
          <w:marRight w:val="0"/>
          <w:marTop w:val="0"/>
          <w:marBottom w:val="0"/>
          <w:divBdr>
            <w:top w:val="none" w:sz="0" w:space="0" w:color="auto"/>
            <w:left w:val="none" w:sz="0" w:space="0" w:color="auto"/>
            <w:bottom w:val="none" w:sz="0" w:space="0" w:color="auto"/>
            <w:right w:val="none" w:sz="0" w:space="0" w:color="auto"/>
          </w:divBdr>
        </w:div>
        <w:div w:id="375129056">
          <w:marLeft w:val="0"/>
          <w:marRight w:val="0"/>
          <w:marTop w:val="0"/>
          <w:marBottom w:val="0"/>
          <w:divBdr>
            <w:top w:val="none" w:sz="0" w:space="0" w:color="auto"/>
            <w:left w:val="none" w:sz="0" w:space="0" w:color="auto"/>
            <w:bottom w:val="none" w:sz="0" w:space="0" w:color="auto"/>
            <w:right w:val="none" w:sz="0" w:space="0" w:color="auto"/>
          </w:divBdr>
        </w:div>
        <w:div w:id="424420378">
          <w:marLeft w:val="0"/>
          <w:marRight w:val="0"/>
          <w:marTop w:val="0"/>
          <w:marBottom w:val="0"/>
          <w:divBdr>
            <w:top w:val="none" w:sz="0" w:space="0" w:color="auto"/>
            <w:left w:val="none" w:sz="0" w:space="0" w:color="auto"/>
            <w:bottom w:val="none" w:sz="0" w:space="0" w:color="auto"/>
            <w:right w:val="none" w:sz="0" w:space="0" w:color="auto"/>
          </w:divBdr>
        </w:div>
        <w:div w:id="674960071">
          <w:marLeft w:val="0"/>
          <w:marRight w:val="0"/>
          <w:marTop w:val="0"/>
          <w:marBottom w:val="0"/>
          <w:divBdr>
            <w:top w:val="none" w:sz="0" w:space="0" w:color="auto"/>
            <w:left w:val="none" w:sz="0" w:space="0" w:color="auto"/>
            <w:bottom w:val="none" w:sz="0" w:space="0" w:color="auto"/>
            <w:right w:val="none" w:sz="0" w:space="0" w:color="auto"/>
          </w:divBdr>
        </w:div>
        <w:div w:id="780566387">
          <w:marLeft w:val="0"/>
          <w:marRight w:val="0"/>
          <w:marTop w:val="0"/>
          <w:marBottom w:val="0"/>
          <w:divBdr>
            <w:top w:val="none" w:sz="0" w:space="0" w:color="auto"/>
            <w:left w:val="none" w:sz="0" w:space="0" w:color="auto"/>
            <w:bottom w:val="none" w:sz="0" w:space="0" w:color="auto"/>
            <w:right w:val="none" w:sz="0" w:space="0" w:color="auto"/>
          </w:divBdr>
        </w:div>
        <w:div w:id="954674791">
          <w:marLeft w:val="0"/>
          <w:marRight w:val="0"/>
          <w:marTop w:val="0"/>
          <w:marBottom w:val="0"/>
          <w:divBdr>
            <w:top w:val="none" w:sz="0" w:space="0" w:color="auto"/>
            <w:left w:val="none" w:sz="0" w:space="0" w:color="auto"/>
            <w:bottom w:val="none" w:sz="0" w:space="0" w:color="auto"/>
            <w:right w:val="none" w:sz="0" w:space="0" w:color="auto"/>
          </w:divBdr>
        </w:div>
        <w:div w:id="990864997">
          <w:marLeft w:val="0"/>
          <w:marRight w:val="0"/>
          <w:marTop w:val="0"/>
          <w:marBottom w:val="0"/>
          <w:divBdr>
            <w:top w:val="none" w:sz="0" w:space="0" w:color="auto"/>
            <w:left w:val="none" w:sz="0" w:space="0" w:color="auto"/>
            <w:bottom w:val="none" w:sz="0" w:space="0" w:color="auto"/>
            <w:right w:val="none" w:sz="0" w:space="0" w:color="auto"/>
          </w:divBdr>
        </w:div>
        <w:div w:id="1701515650">
          <w:marLeft w:val="0"/>
          <w:marRight w:val="0"/>
          <w:marTop w:val="0"/>
          <w:marBottom w:val="0"/>
          <w:divBdr>
            <w:top w:val="none" w:sz="0" w:space="0" w:color="auto"/>
            <w:left w:val="none" w:sz="0" w:space="0" w:color="auto"/>
            <w:bottom w:val="none" w:sz="0" w:space="0" w:color="auto"/>
            <w:right w:val="none" w:sz="0" w:space="0" w:color="auto"/>
          </w:divBdr>
        </w:div>
        <w:div w:id="1766075909">
          <w:marLeft w:val="0"/>
          <w:marRight w:val="0"/>
          <w:marTop w:val="0"/>
          <w:marBottom w:val="0"/>
          <w:divBdr>
            <w:top w:val="none" w:sz="0" w:space="0" w:color="auto"/>
            <w:left w:val="none" w:sz="0" w:space="0" w:color="auto"/>
            <w:bottom w:val="none" w:sz="0" w:space="0" w:color="auto"/>
            <w:right w:val="none" w:sz="0" w:space="0" w:color="auto"/>
          </w:divBdr>
        </w:div>
        <w:div w:id="1777292998">
          <w:marLeft w:val="0"/>
          <w:marRight w:val="0"/>
          <w:marTop w:val="0"/>
          <w:marBottom w:val="0"/>
          <w:divBdr>
            <w:top w:val="none" w:sz="0" w:space="0" w:color="auto"/>
            <w:left w:val="none" w:sz="0" w:space="0" w:color="auto"/>
            <w:bottom w:val="none" w:sz="0" w:space="0" w:color="auto"/>
            <w:right w:val="none" w:sz="0" w:space="0" w:color="auto"/>
          </w:divBdr>
        </w:div>
      </w:divsChild>
    </w:div>
    <w:div w:id="1901399418">
      <w:marLeft w:val="0"/>
      <w:marRight w:val="0"/>
      <w:marTop w:val="0"/>
      <w:marBottom w:val="0"/>
      <w:divBdr>
        <w:top w:val="none" w:sz="0" w:space="0" w:color="auto"/>
        <w:left w:val="none" w:sz="0" w:space="0" w:color="auto"/>
        <w:bottom w:val="none" w:sz="0" w:space="0" w:color="auto"/>
        <w:right w:val="none" w:sz="0" w:space="0" w:color="auto"/>
      </w:divBdr>
      <w:divsChild>
        <w:div w:id="343556060">
          <w:marLeft w:val="0"/>
          <w:marRight w:val="0"/>
          <w:marTop w:val="0"/>
          <w:marBottom w:val="0"/>
          <w:divBdr>
            <w:top w:val="none" w:sz="0" w:space="0" w:color="auto"/>
            <w:left w:val="none" w:sz="0" w:space="0" w:color="auto"/>
            <w:bottom w:val="none" w:sz="0" w:space="0" w:color="auto"/>
            <w:right w:val="none" w:sz="0" w:space="0" w:color="auto"/>
          </w:divBdr>
        </w:div>
      </w:divsChild>
    </w:div>
    <w:div w:id="2052071237">
      <w:marLeft w:val="0"/>
      <w:marRight w:val="0"/>
      <w:marTop w:val="0"/>
      <w:marBottom w:val="0"/>
      <w:divBdr>
        <w:top w:val="none" w:sz="0" w:space="0" w:color="auto"/>
        <w:left w:val="none" w:sz="0" w:space="0" w:color="auto"/>
        <w:bottom w:val="none" w:sz="0" w:space="0" w:color="auto"/>
        <w:right w:val="none" w:sz="0" w:space="0" w:color="auto"/>
      </w:divBdr>
      <w:divsChild>
        <w:div w:id="1910189549">
          <w:marLeft w:val="0"/>
          <w:marRight w:val="0"/>
          <w:marTop w:val="0"/>
          <w:marBottom w:val="0"/>
          <w:divBdr>
            <w:top w:val="none" w:sz="0" w:space="0" w:color="auto"/>
            <w:left w:val="none" w:sz="0" w:space="0" w:color="auto"/>
            <w:bottom w:val="none" w:sz="0" w:space="0" w:color="auto"/>
            <w:right w:val="none" w:sz="0" w:space="0" w:color="auto"/>
          </w:divBdr>
        </w:div>
      </w:divsChild>
    </w:div>
    <w:div w:id="2072343312">
      <w:marLeft w:val="0"/>
      <w:marRight w:val="0"/>
      <w:marTop w:val="0"/>
      <w:marBottom w:val="0"/>
      <w:divBdr>
        <w:top w:val="none" w:sz="0" w:space="0" w:color="auto"/>
        <w:left w:val="none" w:sz="0" w:space="0" w:color="auto"/>
        <w:bottom w:val="none" w:sz="0" w:space="0" w:color="auto"/>
        <w:right w:val="none" w:sz="0" w:space="0" w:color="auto"/>
      </w:divBdr>
      <w:divsChild>
        <w:div w:id="19246839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dane.gov.co/index.php/estadisticas-por-tema/industria/encuesta-mensual-manufacturera-con-enfoque-territorial-emmet" TargetMode="External" Id="rId13" /><Relationship Type="http://schemas.openxmlformats.org/officeDocument/2006/relationships/image" Target="media/image8.png" Id="rId18" /><Relationship Type="http://schemas.openxmlformats.org/officeDocument/2006/relationships/hyperlink" Target="https://www.dane.gov.co/index.php/comunicados-y-boletines/comercio-exterior/importaciones" TargetMode="External" Id="rId26" /><Relationship Type="http://schemas.openxmlformats.org/officeDocument/2006/relationships/hyperlink" Target="https://suameca.banrep.gov.co/indicadores-economicos-del-dia/" TargetMode="External" Id="rId39" /><Relationship Type="http://schemas.openxmlformats.org/officeDocument/2006/relationships/image" Target="media/image10.png" Id="rId21" /><Relationship Type="http://schemas.openxmlformats.org/officeDocument/2006/relationships/hyperlink" Target="https://www.salariominimocolombia.net/historico/" TargetMode="External" Id="rId34" /><Relationship Type="http://schemas.openxmlformats.org/officeDocument/2006/relationships/image" Target="media/image22.png" Id="rId42" /><Relationship Type="http://schemas.openxmlformats.org/officeDocument/2006/relationships/footer" Target="footer1.xml" Id="rId47" /><Relationship Type="http://schemas.microsoft.com/office/2019/05/relationships/documenttasks" Target="documenttasks/documenttasks1.xml" Id="rId50"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7.png" Id="rId16" /><Relationship Type="http://schemas.openxmlformats.org/officeDocument/2006/relationships/image" Target="media/image15.png" Id="rId29" /><Relationship Type="http://schemas.openxmlformats.org/officeDocument/2006/relationships/hyperlink" Target="https://www.dane.gov.co/files/sen/nomenclatura/ciiu/CIIU_Rev_4_AC2022.pdf" TargetMode="External" Id="rId11" /><Relationship Type="http://schemas.openxmlformats.org/officeDocument/2006/relationships/hyperlink" Target="https://www.dane.gov.co/index.php/estadisticas-por-tema/mercado-laboral/mercado-laboral-de-las-personas-con-discapacidad" TargetMode="External" Id="rId24" /><Relationship Type="http://schemas.openxmlformats.org/officeDocument/2006/relationships/image" Target="media/image18.png" Id="rId32" /><Relationship Type="http://schemas.openxmlformats.org/officeDocument/2006/relationships/image" Target="media/image21.png" Id="rId40" /><Relationship Type="http://schemas.openxmlformats.org/officeDocument/2006/relationships/hyperlink" Target="https://www.mincit.gov.co/estudios-economicos/estadisticas-e-informes/informes-de-importaciones-colombianas-y-balanza-co" TargetMode="External" Id="rId45" /><Relationship Type="http://schemas.openxmlformats.org/officeDocument/2006/relationships/numbering" Target="numbering.xml" Id="rId5" /><Relationship Type="http://schemas.openxmlformats.org/officeDocument/2006/relationships/image" Target="media/image6.png" Id="rId15" /><Relationship Type="http://schemas.openxmlformats.org/officeDocument/2006/relationships/image" Target="media/image11.png" Id="rId23" /><Relationship Type="http://schemas.openxmlformats.org/officeDocument/2006/relationships/image" Target="media/image14.png" Id="rId28" /><Relationship Type="http://schemas.openxmlformats.org/officeDocument/2006/relationships/chart" Target="charts/chart1.xml" Id="rId36" /><Relationship Type="http://schemas.openxmlformats.org/officeDocument/2006/relationships/theme" Target="theme/theme1.xml" Id="rId49"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image" Target="media/image17.png" Id="rId31" /><Relationship Type="http://schemas.openxmlformats.org/officeDocument/2006/relationships/image" Target="media/image23.png"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dane.gov.co/index.php/estadisticas-por-tema/cuentas-nacionales/cuentas-nacionales-trimestrales/pib-informacion-tecnica" TargetMode="External" Id="rId14" /><Relationship Type="http://schemas.openxmlformats.org/officeDocument/2006/relationships/hyperlink" Target="https://www.dane.gov.co/index.php/estadisticas-por-tema/mercado-laboral/mercado-laboral-de-las-personas-con-discapacidad" TargetMode="External" Id="rId22" /><Relationship Type="http://schemas.openxmlformats.org/officeDocument/2006/relationships/image" Target="media/image13.png" Id="rId27" /><Relationship Type="http://schemas.openxmlformats.org/officeDocument/2006/relationships/image" Target="media/image16.png" Id="rId30" /><Relationship Type="http://schemas.openxmlformats.org/officeDocument/2006/relationships/hyperlink" Target="https://www.mincit.gov.co/estudios-economicos/estadisticas-e-informes/informes-de-importaciones-colombianas-y-balanza-co" TargetMode="External" Id="rId43" /><Relationship Type="http://schemas.openxmlformats.org/officeDocument/2006/relationships/fontTable" Target="fontTable.xml" Id="rId48" /><Relationship Type="http://schemas.openxmlformats.org/officeDocument/2006/relationships/webSettings" Target="webSettings.xml" Id="rId8" /><Relationship Type="http://schemas.microsoft.com/office/2020/10/relationships/intelligence" Target="intelligence2.xml" Id="rId51" /><Relationship Type="http://schemas.openxmlformats.org/officeDocument/2006/relationships/customXml" Target="../customXml/item3.xml" Id="rId3" /><Relationship Type="http://schemas.openxmlformats.org/officeDocument/2006/relationships/image" Target="media/image5.png" Id="rId12" /><Relationship Type="http://schemas.openxmlformats.org/officeDocument/2006/relationships/hyperlink" Target="https://www.dane.gov.co/files/operaciones/PIB/bol-PIB-IVtrim2025.pdf" TargetMode="External" Id="rId17" /><Relationship Type="http://schemas.openxmlformats.org/officeDocument/2006/relationships/image" Target="media/image12.png" Id="rId25" /><Relationship Type="http://schemas.openxmlformats.org/officeDocument/2006/relationships/image" Target="media/image19.png" Id="rId33" /><Relationship Type="http://schemas.openxmlformats.org/officeDocument/2006/relationships/image" Target="media/image20.png" Id="rId38" /><Relationship Type="http://schemas.openxmlformats.org/officeDocument/2006/relationships/header" Target="header1.xml" Id="rId46" /><Relationship Type="http://schemas.openxmlformats.org/officeDocument/2006/relationships/hyperlink" Target="https://www.dane.gov.co/index.php/estadisticas-por-tema/mercado-laboral/empleo-y-desempleo" TargetMode="External" Id="rId20" /><Relationship Type="http://schemas.openxmlformats.org/officeDocument/2006/relationships/hyperlink" Target="https://www.mincit.gov.co/estudios-economicos/estadisticas-e-informes/informes-de-importaciones-colombianas-y-balanza-co" TargetMode="Externa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comments" Target="comments.xml" Id="R2512dfa657c14fba" /><Relationship Type="http://schemas.microsoft.com/office/2016/09/relationships/commentsIds" Target="commentsIds.xml" Id="R77027d0840d442f0" /><Relationship Type="http://schemas.microsoft.com/office/2011/relationships/commentsExtended" Target="commentsExtended.xml" Id="R31618975715c453f" /><Relationship Type="http://schemas.microsoft.com/office/2018/08/relationships/commentsExtensible" Target="commentsExtensible.xml" Id="Rbc9500695763446c" /><Relationship Type="http://schemas.microsoft.com/office/2011/relationships/people" Target="people.xml" Id="R31646339404543da" /><Relationship Type="http://schemas.openxmlformats.org/officeDocument/2006/relationships/hyperlink" Target="https://books.google.com.co/books?%7did=ld8I68bW3eoC&amp;printsec=frontcover&amp;hl=es&amp;source=gbs_ge_summary_r&amp;cad=0#v=onepage&amp;q&amp;f=false" TargetMode="External" Id="Ra27b388ce3094f24" /><Relationship Type="http://schemas.openxmlformats.org/officeDocument/2006/relationships/hyperlink" Target="https://www.banrep.gov.co/es/estadisticas/trm" TargetMode="External" Id="Rfade70fa2b4a4c8e" /></Relationships>
</file>

<file path=word/_rels/footnotes.xml.rels><?xml version="1.0" encoding="UTF-8" standalone="yes"?>
<Relationships xmlns="http://schemas.openxmlformats.org/package/2006/relationships"><Relationship Id="rId2" Type="http://schemas.openxmlformats.org/officeDocument/2006/relationships/hyperlink" Target="https://books.google.com.co/books?id=ld8I68bW3eoC&amp;printsec=frontcover&amp;hl=es&amp;source=gbs_ge_summary_r&amp;cad=0" TargetMode="External"/><Relationship Id="rId1" Type="http://schemas.openxmlformats.org/officeDocument/2006/relationships/hyperlink" Target="http://www.dane.gov.co/files/nomenclaturas/CIIU_Rev4ac.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5.jpeg"/><Relationship Id="rId1" Type="http://schemas.openxmlformats.org/officeDocument/2006/relationships/image" Target="media/image24.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sandr\Downloads\Tasa%20de%20cambio%20del%20peso%20colombiano%20(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Datos!$B$1</c:f>
              <c:strCache>
                <c:ptCount val="1"/>
                <c:pt idx="0">
                  <c:v>Tasa Representativa del Mercado (TRM)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Datos!$A$2:$A$8</c:f>
              <c:strCache>
                <c:ptCount val="7"/>
                <c:pt idx="0">
                  <c:v>2026/01/01</c:v>
                </c:pt>
                <c:pt idx="1">
                  <c:v>2026/02/01</c:v>
                </c:pt>
                <c:pt idx="2">
                  <c:v>2026/02/02</c:v>
                </c:pt>
                <c:pt idx="3">
                  <c:v>2026/03/01</c:v>
                </c:pt>
                <c:pt idx="4">
                  <c:v>2026/04/01</c:v>
                </c:pt>
                <c:pt idx="5">
                  <c:v>2026/05/01</c:v>
                </c:pt>
                <c:pt idx="6">
                  <c:v>2026/06/01</c:v>
                </c:pt>
              </c:strCache>
            </c:strRef>
          </c:cat>
          <c:val>
            <c:numRef>
              <c:f>Datos!$B$2:$B$8</c:f>
              <c:numCache>
                <c:formatCode>#,##0.00</c:formatCode>
                <c:ptCount val="7"/>
                <c:pt idx="0">
                  <c:v>3757.08</c:v>
                </c:pt>
                <c:pt idx="1">
                  <c:v>3670.47</c:v>
                </c:pt>
                <c:pt idx="2">
                  <c:v>3670.47</c:v>
                </c:pt>
                <c:pt idx="3">
                  <c:v>3766.3</c:v>
                </c:pt>
                <c:pt idx="4">
                  <c:v>3660.1</c:v>
                </c:pt>
                <c:pt idx="5">
                  <c:v>3637.51</c:v>
                </c:pt>
                <c:pt idx="6">
                  <c:v>3678.15</c:v>
                </c:pt>
              </c:numCache>
            </c:numRef>
          </c:val>
          <c:extLst>
            <c:ext xmlns:c16="http://schemas.microsoft.com/office/drawing/2014/chart" uri="{C3380CC4-5D6E-409C-BE32-E72D297353CC}">
              <c16:uniqueId val="{00000001-F2AE-42AF-A23B-2627515E7EF9}"/>
            </c:ext>
          </c:extLst>
        </c:ser>
        <c:dLbls>
          <c:dLblPos val="outEnd"/>
          <c:showLegendKey val="0"/>
          <c:showVal val="1"/>
          <c:showCatName val="0"/>
          <c:showSerName val="0"/>
          <c:showPercent val="0"/>
          <c:showBubbleSize val="0"/>
        </c:dLbls>
        <c:gapWidth val="219"/>
        <c:overlap val="-27"/>
        <c:axId val="756864096"/>
        <c:axId val="756864576"/>
      </c:barChart>
      <c:catAx>
        <c:axId val="756864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56864576"/>
        <c:crosses val="autoZero"/>
        <c:auto val="1"/>
        <c:lblAlgn val="ctr"/>
        <c:lblOffset val="100"/>
        <c:noMultiLvlLbl val="0"/>
      </c:catAx>
      <c:valAx>
        <c:axId val="7568645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756864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2CAF7107-763E-44B6-8060-21E79C3EE6AB}">
    <t:Anchor>
      <t:Comment id="91648194"/>
    </t:Anchor>
    <t:History>
      <t:Event id="{2A0234E2-C08A-4CE8-9E6C-AF0C23B25BF1}" time="2023-07-05T16:40:32.947Z">
        <t:Attribution userId="S::v1ospitia@saludcapital.gov.co::1ae37c39-aaea-43e1-888b-3f9c43100193" userProvider="AD" userName="Valentina, Ospitia Giraldo"/>
        <t:Anchor>
          <t:Comment id="91648194"/>
        </t:Anchor>
        <t:Create/>
      </t:Event>
      <t:Event id="{B2DDFD93-687A-427A-A0C3-8753A876BAFA}" time="2023-07-05T16:40:32.947Z">
        <t:Attribution userId="S::v1ospitia@saludcapital.gov.co::1ae37c39-aaea-43e1-888b-3f9c43100193" userProvider="AD" userName="Valentina, Ospitia Giraldo"/>
        <t:Anchor>
          <t:Comment id="91648194"/>
        </t:Anchor>
        <t:Assign userId="S::APArias@saludcapital.gov.co::98f82eb0-6c8a-42ce-bfdb-d65f41068175" userProvider="AD" userName="Angie Paola, Arias Pedraza"/>
      </t:Event>
      <t:Event id="{84574EE3-C8D6-48B3-98E3-FF67F3486AA5}" time="2023-07-05T16:40:32.947Z">
        <t:Attribution userId="S::v1ospitia@saludcapital.gov.co::1ae37c39-aaea-43e1-888b-3f9c43100193" userProvider="AD" userName="Valentina, Ospitia Giraldo"/>
        <t:Anchor>
          <t:Comment id="91648194"/>
        </t:Anchor>
        <t:SetTitle title="Ajustar este gráfico, está muy borroso @Angie Paola, Arias Pedraza"/>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4f1fbff-facd-4dff-ad26-d6512eda2950">
      <Terms xmlns="http://schemas.microsoft.com/office/infopath/2007/PartnerControls"/>
    </lcf76f155ced4ddcb4097134ff3c332f>
    <TaxCatchAll xmlns="c1bc6087-baa3-427d-a9c0-02e9f166c831"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094923-24D1-4552-A6F5-9880AE46C0D8}"/>
</file>

<file path=customXml/itemProps2.xml><?xml version="1.0" encoding="utf-8"?>
<ds:datastoreItem xmlns:ds="http://schemas.openxmlformats.org/officeDocument/2006/customXml" ds:itemID="{7A9FB55B-EFF5-424D-B416-B2E4028D62F3}">
  <ds:schemaRefs>
    <ds:schemaRef ds:uri="http://schemas.microsoft.com/sharepoint/v3/contenttype/forms"/>
  </ds:schemaRefs>
</ds:datastoreItem>
</file>

<file path=customXml/itemProps3.xml><?xml version="1.0" encoding="utf-8"?>
<ds:datastoreItem xmlns:ds="http://schemas.openxmlformats.org/officeDocument/2006/customXml" ds:itemID="{AADE55FF-8DAC-468E-B510-B5B10C7CDE43}">
  <ds:schemaRefs>
    <ds:schemaRef ds:uri="http://schemas.microsoft.com/office/2006/metadata/properties"/>
    <ds:schemaRef ds:uri="http://schemas.microsoft.com/office/infopath/2007/PartnerControls"/>
    <ds:schemaRef ds:uri="58310175-a52c-451d-a773-3f81c18ad7cb"/>
    <ds:schemaRef ds:uri="18cfa174-3f6c-4e2c-b286-00c56341ccc4"/>
  </ds:schemaRefs>
</ds:datastoreItem>
</file>

<file path=customXml/itemProps4.xml><?xml version="1.0" encoding="utf-8"?>
<ds:datastoreItem xmlns:ds="http://schemas.openxmlformats.org/officeDocument/2006/customXml" ds:itemID="{062531A6-DBBD-4AD6-A09C-C9E2CEBAB01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Restrepo Ramirez, Diego Alejandro</dc:creator>
  <keywords/>
  <dc:description/>
  <lastModifiedBy>Darwin Johan, Cristancho Mican</lastModifiedBy>
  <revision>52</revision>
  <lastPrinted>2022-05-13T14:15:00.0000000Z</lastPrinted>
  <dcterms:created xsi:type="dcterms:W3CDTF">2026-05-07T20:09:00.0000000Z</dcterms:created>
  <dcterms:modified xsi:type="dcterms:W3CDTF">2026-06-22T17:03:47.4085335Z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0x01010000D8795E9652764F8AFFE024CFD8CD1B</vt:lpwstr>
  </property>
  <property fmtid="{D5CDD505-2E9C-101B-9397-08002B2CF9AE}" pid="3" name="MediaServiceImageTags">
    <vt:lpwstr/>
  </property>
</Properties>
</file>